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868D" w14:textId="77777777" w:rsidR="00995ED2" w:rsidRPr="00995ED2" w:rsidRDefault="00995ED2" w:rsidP="00995ED2">
      <w:pPr>
        <w:jc w:val="center"/>
        <w:rPr>
          <w:b/>
          <w:bCs/>
          <w:lang w:val="fr-FR"/>
        </w:rPr>
      </w:pPr>
      <w:r w:rsidRPr="00995ED2">
        <w:rPr>
          <w:b/>
          <w:bCs/>
          <w:lang w:val="fr-FR"/>
        </w:rPr>
        <w:t>Termes de Référence (TDR) de l’Évaluation Finale du Projet JTF</w:t>
      </w:r>
    </w:p>
    <w:p w14:paraId="72304FBA" w14:textId="77777777" w:rsidR="00995ED2" w:rsidRDefault="00995ED2" w:rsidP="00995ED2">
      <w:pPr>
        <w:rPr>
          <w:b/>
          <w:bCs/>
          <w:lang w:val="fr-FR"/>
        </w:rPr>
      </w:pPr>
    </w:p>
    <w:p w14:paraId="4783A205" w14:textId="0B19A735" w:rsidR="00995ED2" w:rsidRPr="00995ED2" w:rsidRDefault="00995ED2" w:rsidP="00995ED2">
      <w:pPr>
        <w:rPr>
          <w:b/>
          <w:bCs/>
          <w:lang w:val="fr-FR"/>
        </w:rPr>
      </w:pPr>
      <w:r w:rsidRPr="00995ED2">
        <w:rPr>
          <w:b/>
          <w:bCs/>
          <w:lang w:val="fr-FR"/>
        </w:rPr>
        <w:t>Préambule</w:t>
      </w:r>
    </w:p>
    <w:p w14:paraId="1FEB68A5" w14:textId="77777777" w:rsidR="00995ED2" w:rsidRPr="00995ED2" w:rsidRDefault="00995ED2" w:rsidP="00995ED2">
      <w:pPr>
        <w:rPr>
          <w:lang w:val="fr-FR"/>
        </w:rPr>
      </w:pPr>
      <w:r w:rsidRPr="00995ED2">
        <w:rPr>
          <w:lang w:val="fr-FR"/>
        </w:rPr>
        <w:t>Le Fonds Fiduciaire Japonais (Japan Trust Fund – JTF) est un programme initié par le gouvernement japonais afin de soutenir les Associations Membres de la Fédération Internationale pour la Planification Familiale (IPPF) dans la promotion des services de santé sexuelle et reproductive en Afrique et en Asie.</w:t>
      </w:r>
    </w:p>
    <w:p w14:paraId="251A38B7" w14:textId="03467727" w:rsidR="00995ED2" w:rsidRPr="00995ED2" w:rsidRDefault="00995ED2" w:rsidP="00995ED2">
      <w:pPr>
        <w:rPr>
          <w:lang w:val="fr-FR"/>
        </w:rPr>
      </w:pPr>
      <w:r w:rsidRPr="00995ED2">
        <w:rPr>
          <w:lang w:val="fr-FR"/>
        </w:rPr>
        <w:t xml:space="preserve">C’est dans ce cadre que ce projet, initié par le </w:t>
      </w:r>
      <w:proofErr w:type="gramStart"/>
      <w:r>
        <w:rPr>
          <w:lang w:val="fr-FR"/>
        </w:rPr>
        <w:t>M</w:t>
      </w:r>
      <w:r w:rsidRPr="00995ED2">
        <w:rPr>
          <w:lang w:val="fr-FR"/>
        </w:rPr>
        <w:t>inistère</w:t>
      </w:r>
      <w:proofErr w:type="gramEnd"/>
      <w:r w:rsidRPr="00995ED2">
        <w:rPr>
          <w:lang w:val="fr-FR"/>
        </w:rPr>
        <w:t xml:space="preserve"> des Affaires Étrangères du Japon avec l’appui de l’IPPF, a été attribué en 2025 à l’Association Mauritanienne pour la Promotion de la Famille (AMPF). Le projet est intitulé :</w:t>
      </w:r>
    </w:p>
    <w:p w14:paraId="79FE95D9" w14:textId="77777777" w:rsidR="00995ED2" w:rsidRPr="00995ED2" w:rsidRDefault="00995ED2" w:rsidP="00995ED2">
      <w:pPr>
        <w:rPr>
          <w:lang w:val="fr-FR"/>
        </w:rPr>
      </w:pPr>
      <w:r w:rsidRPr="00995ED2">
        <w:rPr>
          <w:b/>
          <w:bCs/>
          <w:lang w:val="fr-FR"/>
        </w:rPr>
        <w:t>« JTF : Proposition de projet pour la Phase XXV : Créer et combler le lien manquant entre les violences basées sur le genre et les services de santé sexuelle et reproductive pour les marins-pêcheurs en Mauritanie »</w:t>
      </w:r>
      <w:r w:rsidRPr="00995ED2">
        <w:rPr>
          <w:lang w:val="fr-FR"/>
        </w:rPr>
        <w:t>.</w:t>
      </w:r>
    </w:p>
    <w:p w14:paraId="36C7B013" w14:textId="77777777" w:rsidR="00995ED2" w:rsidRPr="00995ED2" w:rsidRDefault="00995ED2" w:rsidP="00995ED2">
      <w:pPr>
        <w:rPr>
          <w:lang w:val="fr-FR"/>
        </w:rPr>
      </w:pPr>
      <w:r w:rsidRPr="00995ED2">
        <w:rPr>
          <w:lang w:val="fr-FR"/>
        </w:rPr>
        <w:t xml:space="preserve">Il concerne les pêcheurs de quatre villages : </w:t>
      </w:r>
      <w:proofErr w:type="spellStart"/>
      <w:r w:rsidRPr="00995ED2">
        <w:rPr>
          <w:b/>
          <w:bCs/>
          <w:lang w:val="fr-FR"/>
        </w:rPr>
        <w:t>Lemsid</w:t>
      </w:r>
      <w:proofErr w:type="spellEnd"/>
      <w:r w:rsidRPr="00995ED2">
        <w:rPr>
          <w:b/>
          <w:bCs/>
          <w:lang w:val="fr-FR"/>
        </w:rPr>
        <w:t xml:space="preserve">, </w:t>
      </w:r>
      <w:proofErr w:type="spellStart"/>
      <w:r w:rsidRPr="00995ED2">
        <w:rPr>
          <w:b/>
          <w:bCs/>
          <w:lang w:val="fr-FR"/>
        </w:rPr>
        <w:t>Belzakh</w:t>
      </w:r>
      <w:proofErr w:type="spellEnd"/>
      <w:r w:rsidRPr="00995ED2">
        <w:rPr>
          <w:b/>
          <w:bCs/>
          <w:lang w:val="fr-FR"/>
        </w:rPr>
        <w:t>, Mehygratte</w:t>
      </w:r>
      <w:r w:rsidRPr="00995ED2">
        <w:rPr>
          <w:lang w:val="fr-FR"/>
        </w:rPr>
        <w:t xml:space="preserve"> (région de l’</w:t>
      </w:r>
      <w:proofErr w:type="spellStart"/>
      <w:r w:rsidRPr="00995ED2">
        <w:rPr>
          <w:lang w:val="fr-FR"/>
        </w:rPr>
        <w:t>Inchiri</w:t>
      </w:r>
      <w:proofErr w:type="spellEnd"/>
      <w:r w:rsidRPr="00995ED2">
        <w:rPr>
          <w:lang w:val="fr-FR"/>
        </w:rPr>
        <w:t xml:space="preserve">) et </w:t>
      </w:r>
      <w:r w:rsidRPr="00995ED2">
        <w:rPr>
          <w:b/>
          <w:bCs/>
          <w:lang w:val="fr-FR"/>
        </w:rPr>
        <w:t>Nouamghar</w:t>
      </w:r>
      <w:r w:rsidRPr="00995ED2">
        <w:rPr>
          <w:lang w:val="fr-FR"/>
        </w:rPr>
        <w:t xml:space="preserve"> (région de Nouadhibou), situés sur la côte atlantique. Sa durée est d’une année, de mai 2025 à juin 2026.</w:t>
      </w:r>
    </w:p>
    <w:p w14:paraId="25BAA7B0" w14:textId="24C33614" w:rsidR="00995ED2" w:rsidRPr="00995ED2" w:rsidRDefault="00995ED2" w:rsidP="00995ED2">
      <w:pPr>
        <w:rPr>
          <w:lang w:val="fr-FR"/>
        </w:rPr>
      </w:pPr>
      <w:r w:rsidRPr="00995ED2">
        <w:rPr>
          <w:lang w:val="fr-FR"/>
        </w:rPr>
        <w:t xml:space="preserve">L’objectif principal du projet est d’accroître l’accès aux services de santé sexuelle et reproductive pour </w:t>
      </w:r>
      <w:r w:rsidRPr="00995ED2">
        <w:rPr>
          <w:b/>
          <w:bCs/>
          <w:lang w:val="fr-FR"/>
        </w:rPr>
        <w:t>7 000 marins</w:t>
      </w:r>
      <w:r w:rsidR="00966D47">
        <w:rPr>
          <w:b/>
          <w:bCs/>
          <w:lang w:val="fr-FR"/>
        </w:rPr>
        <w:t>/</w:t>
      </w:r>
      <w:r w:rsidRPr="00995ED2">
        <w:rPr>
          <w:b/>
          <w:bCs/>
          <w:lang w:val="fr-FR"/>
        </w:rPr>
        <w:t>pêcheurs et leurs partenaires</w:t>
      </w:r>
      <w:r w:rsidRPr="00995ED2">
        <w:rPr>
          <w:lang w:val="fr-FR"/>
        </w:rPr>
        <w:t xml:space="preserve"> et de réduire de </w:t>
      </w:r>
      <w:r w:rsidRPr="00995ED2">
        <w:rPr>
          <w:b/>
          <w:bCs/>
          <w:lang w:val="fr-FR"/>
        </w:rPr>
        <w:t>10 %</w:t>
      </w:r>
      <w:r w:rsidRPr="00995ED2">
        <w:rPr>
          <w:lang w:val="fr-FR"/>
        </w:rPr>
        <w:t xml:space="preserve"> la prévalence des violences sexuelles et basées sur le genre.</w:t>
      </w:r>
    </w:p>
    <w:p w14:paraId="04BFDC2A" w14:textId="77777777" w:rsidR="00995ED2" w:rsidRPr="00995ED2" w:rsidRDefault="00995ED2" w:rsidP="00995ED2">
      <w:pPr>
        <w:rPr>
          <w:lang w:val="fr-FR"/>
        </w:rPr>
      </w:pPr>
      <w:r w:rsidRPr="00995ED2">
        <w:rPr>
          <w:lang w:val="fr-FR"/>
        </w:rPr>
        <w:t>Le projet vise à répondre aux défis rencontrés par les marins-pêcheurs, notamment :</w:t>
      </w:r>
    </w:p>
    <w:p w14:paraId="4F6DE6D6" w14:textId="77777777" w:rsidR="00995ED2" w:rsidRPr="00995ED2" w:rsidRDefault="00995ED2" w:rsidP="00995ED2">
      <w:pPr>
        <w:numPr>
          <w:ilvl w:val="0"/>
          <w:numId w:val="1"/>
        </w:numPr>
        <w:rPr>
          <w:lang w:val="fr-FR"/>
        </w:rPr>
      </w:pPr>
      <w:proofErr w:type="gramStart"/>
      <w:r w:rsidRPr="00995ED2">
        <w:rPr>
          <w:lang w:val="fr-FR"/>
        </w:rPr>
        <w:t>le</w:t>
      </w:r>
      <w:proofErr w:type="gramEnd"/>
      <w:r w:rsidRPr="00995ED2">
        <w:rPr>
          <w:lang w:val="fr-FR"/>
        </w:rPr>
        <w:t xml:space="preserve"> manque de connaissances et d’informations sur la santé et les droits sexuels et reproductifs (SDSR) ;</w:t>
      </w:r>
    </w:p>
    <w:p w14:paraId="463D86B2" w14:textId="77777777" w:rsidR="00995ED2" w:rsidRPr="00995ED2" w:rsidRDefault="00995ED2" w:rsidP="00995ED2">
      <w:pPr>
        <w:numPr>
          <w:ilvl w:val="0"/>
          <w:numId w:val="1"/>
        </w:numPr>
        <w:rPr>
          <w:lang w:val="fr-FR"/>
        </w:rPr>
      </w:pPr>
      <w:proofErr w:type="gramStart"/>
      <w:r w:rsidRPr="00995ED2">
        <w:rPr>
          <w:lang w:val="fr-FR"/>
        </w:rPr>
        <w:t>l’accès</w:t>
      </w:r>
      <w:proofErr w:type="gramEnd"/>
      <w:r w:rsidRPr="00995ED2">
        <w:rPr>
          <w:lang w:val="fr-FR"/>
        </w:rPr>
        <w:t xml:space="preserve"> limité à des services de SDSR adaptés ;</w:t>
      </w:r>
    </w:p>
    <w:p w14:paraId="4165242B" w14:textId="77777777" w:rsidR="00995ED2" w:rsidRPr="00995ED2" w:rsidRDefault="00995ED2" w:rsidP="00995ED2">
      <w:pPr>
        <w:numPr>
          <w:ilvl w:val="0"/>
          <w:numId w:val="1"/>
        </w:numPr>
        <w:rPr>
          <w:lang w:val="fr-FR"/>
        </w:rPr>
      </w:pPr>
      <w:proofErr w:type="gramStart"/>
      <w:r w:rsidRPr="00995ED2">
        <w:rPr>
          <w:lang w:val="fr-FR"/>
        </w:rPr>
        <w:t>la</w:t>
      </w:r>
      <w:proofErr w:type="gramEnd"/>
      <w:r w:rsidRPr="00995ED2">
        <w:rPr>
          <w:lang w:val="fr-FR"/>
        </w:rPr>
        <w:t xml:space="preserve"> prévalence plus visible des violences sexuelles et basées sur le genre, résultant notamment d’une faible implication des hommes dans les questions de SDSR.</w:t>
      </w:r>
    </w:p>
    <w:p w14:paraId="602966BA" w14:textId="77777777" w:rsidR="00995ED2" w:rsidRPr="00995ED2" w:rsidRDefault="00995ED2" w:rsidP="00995ED2">
      <w:pPr>
        <w:rPr>
          <w:lang w:val="fr-FR"/>
        </w:rPr>
      </w:pPr>
      <w:r w:rsidRPr="00995ED2">
        <w:rPr>
          <w:lang w:val="fr-FR"/>
        </w:rPr>
        <w:t>Dans ce cadre, le projet prévoit la mise en œuvre d’actions répondant aux besoins en santé sexuelle et reproductive de cette population cible et l’adaptation d’interventions et d’approches innovantes, notamment le développement de partenariats en milieu professionnel, afin d’améliorer les résultats en matière de SDSR au sein des communautés de marins-pêcheurs et de leurs partenaires.</w:t>
      </w:r>
    </w:p>
    <w:p w14:paraId="2F56D6FF" w14:textId="77777777" w:rsidR="00995ED2" w:rsidRPr="00995ED2" w:rsidRDefault="00995ED2" w:rsidP="00995ED2">
      <w:pPr>
        <w:rPr>
          <w:lang w:val="fr-FR"/>
        </w:rPr>
      </w:pPr>
      <w:r w:rsidRPr="00995ED2">
        <w:rPr>
          <w:lang w:val="fr-FR"/>
        </w:rPr>
        <w:lastRenderedPageBreak/>
        <w:t xml:space="preserve">À la suite de la clôture du projet le </w:t>
      </w:r>
      <w:r w:rsidRPr="00995ED2">
        <w:rPr>
          <w:b/>
          <w:bCs/>
          <w:lang w:val="fr-FR"/>
        </w:rPr>
        <w:t>30 juin 2026</w:t>
      </w:r>
      <w:r w:rsidRPr="00995ED2">
        <w:rPr>
          <w:lang w:val="fr-FR"/>
        </w:rPr>
        <w:t>, l’IPPF AWRO et l’AMPF lancent un appel à recrutement d’un consultant ou d’une équipe de consultants pour évaluer le projet mis en œuvre dans les quatre villages concernés.</w:t>
      </w:r>
    </w:p>
    <w:p w14:paraId="7FBCAC92" w14:textId="77777777" w:rsidR="00995ED2" w:rsidRPr="00995ED2" w:rsidRDefault="00995ED2" w:rsidP="00995ED2">
      <w:pPr>
        <w:rPr>
          <w:b/>
          <w:bCs/>
          <w:lang w:val="fr-FR"/>
        </w:rPr>
      </w:pPr>
      <w:r w:rsidRPr="00995ED2">
        <w:rPr>
          <w:b/>
          <w:bCs/>
          <w:lang w:val="fr-FR"/>
        </w:rPr>
        <w:t>I. But, objectifs et principaux résultats attendus du projet</w:t>
      </w:r>
    </w:p>
    <w:p w14:paraId="043552D5" w14:textId="77777777" w:rsidR="00995ED2" w:rsidRPr="00995ED2" w:rsidRDefault="00995ED2" w:rsidP="00995ED2">
      <w:pPr>
        <w:rPr>
          <w:b/>
          <w:bCs/>
          <w:lang w:val="fr-FR"/>
        </w:rPr>
      </w:pPr>
      <w:r w:rsidRPr="00995ED2">
        <w:rPr>
          <w:b/>
          <w:bCs/>
          <w:lang w:val="fr-FR"/>
        </w:rPr>
        <w:t>Objectif global</w:t>
      </w:r>
    </w:p>
    <w:p w14:paraId="0CB7572D" w14:textId="72CC90FD" w:rsidR="00995ED2" w:rsidRPr="00995ED2" w:rsidRDefault="00995ED2" w:rsidP="00995ED2">
      <w:pPr>
        <w:rPr>
          <w:lang w:val="fr-FR"/>
        </w:rPr>
      </w:pPr>
      <w:r w:rsidRPr="00995ED2">
        <w:rPr>
          <w:lang w:val="fr-FR"/>
        </w:rPr>
        <w:t>Accroître l’accès des marins</w:t>
      </w:r>
      <w:r w:rsidR="00966D47" w:rsidRPr="00966D47">
        <w:rPr>
          <w:lang w:val="fr-FR" w:bidi="ar-TN"/>
        </w:rPr>
        <w:t>/</w:t>
      </w:r>
      <w:r w:rsidRPr="00995ED2">
        <w:rPr>
          <w:lang w:val="fr-FR"/>
        </w:rPr>
        <w:t>pêcheurs aux services de santé sexuelle et reproductive et réduire de 10 % la prévalence des violences sexuelles et basées sur le genre.</w:t>
      </w:r>
    </w:p>
    <w:p w14:paraId="709809C0" w14:textId="77777777" w:rsidR="00995ED2" w:rsidRPr="00995ED2" w:rsidRDefault="00995ED2" w:rsidP="00995ED2">
      <w:pPr>
        <w:rPr>
          <w:b/>
          <w:bCs/>
        </w:rPr>
      </w:pPr>
      <w:proofErr w:type="spellStart"/>
      <w:r w:rsidRPr="00995ED2">
        <w:rPr>
          <w:b/>
          <w:bCs/>
        </w:rPr>
        <w:t>Objectifs</w:t>
      </w:r>
      <w:proofErr w:type="spellEnd"/>
      <w:r w:rsidRPr="00995ED2">
        <w:rPr>
          <w:b/>
          <w:bCs/>
        </w:rPr>
        <w:t xml:space="preserve"> </w:t>
      </w:r>
      <w:proofErr w:type="spellStart"/>
      <w:r w:rsidRPr="00995ED2">
        <w:rPr>
          <w:b/>
          <w:bCs/>
        </w:rPr>
        <w:t>spécifiques</w:t>
      </w:r>
      <w:proofErr w:type="spellEnd"/>
    </w:p>
    <w:p w14:paraId="13BAF1A1" w14:textId="7C2B633F" w:rsidR="00995ED2" w:rsidRPr="00995ED2" w:rsidRDefault="00995ED2" w:rsidP="00995ED2">
      <w:pPr>
        <w:numPr>
          <w:ilvl w:val="0"/>
          <w:numId w:val="2"/>
        </w:numPr>
        <w:rPr>
          <w:lang w:val="fr-FR"/>
        </w:rPr>
      </w:pPr>
      <w:r w:rsidRPr="00995ED2">
        <w:rPr>
          <w:lang w:val="fr-FR"/>
        </w:rPr>
        <w:t xml:space="preserve">Améliorer les résultats en matière de santé sexuelle et reproductive pour </w:t>
      </w:r>
      <w:r w:rsidRPr="00995ED2">
        <w:rPr>
          <w:b/>
          <w:bCs/>
          <w:lang w:val="fr-FR"/>
        </w:rPr>
        <w:t>7 000 marins</w:t>
      </w:r>
      <w:r w:rsidR="00966D47">
        <w:rPr>
          <w:b/>
          <w:bCs/>
          <w:lang w:val="fr-FR"/>
        </w:rPr>
        <w:t>/</w:t>
      </w:r>
      <w:r w:rsidRPr="00995ED2">
        <w:rPr>
          <w:b/>
          <w:bCs/>
          <w:lang w:val="fr-FR"/>
        </w:rPr>
        <w:t xml:space="preserve">pêcheurs </w:t>
      </w:r>
      <w:r w:rsidRPr="00995ED2">
        <w:rPr>
          <w:lang w:val="fr-FR"/>
        </w:rPr>
        <w:t>grâce à l’information et aux services.</w:t>
      </w:r>
    </w:p>
    <w:p w14:paraId="05D4701A" w14:textId="0A8079CB" w:rsidR="00995ED2" w:rsidRPr="00995ED2" w:rsidRDefault="00995ED2" w:rsidP="00995ED2">
      <w:pPr>
        <w:numPr>
          <w:ilvl w:val="0"/>
          <w:numId w:val="2"/>
        </w:numPr>
        <w:rPr>
          <w:lang w:val="fr-FR"/>
        </w:rPr>
      </w:pPr>
      <w:r w:rsidRPr="00995ED2">
        <w:rPr>
          <w:lang w:val="fr-FR"/>
        </w:rPr>
        <w:t xml:space="preserve">Permettre à </w:t>
      </w:r>
      <w:r w:rsidRPr="00995ED2">
        <w:rPr>
          <w:b/>
          <w:bCs/>
          <w:lang w:val="fr-FR"/>
        </w:rPr>
        <w:t>7 000 marins</w:t>
      </w:r>
      <w:r w:rsidR="00966D47">
        <w:rPr>
          <w:b/>
          <w:bCs/>
          <w:lang w:val="fr-FR"/>
        </w:rPr>
        <w:t>/</w:t>
      </w:r>
      <w:r w:rsidRPr="00995ED2">
        <w:rPr>
          <w:b/>
          <w:bCs/>
          <w:lang w:val="fr-FR"/>
        </w:rPr>
        <w:t>pêcheurs</w:t>
      </w:r>
      <w:r w:rsidRPr="00995ED2">
        <w:rPr>
          <w:lang w:val="fr-FR"/>
        </w:rPr>
        <w:t xml:space="preserve"> de faire face aux violences sexuelles et basées sur le genre grâce à l’accès à l’information et au soutien psychologique.</w:t>
      </w:r>
    </w:p>
    <w:p w14:paraId="41DD5B47" w14:textId="77777777" w:rsidR="00995ED2" w:rsidRPr="00995ED2" w:rsidRDefault="00995ED2" w:rsidP="00995ED2">
      <w:pPr>
        <w:numPr>
          <w:ilvl w:val="0"/>
          <w:numId w:val="2"/>
        </w:numPr>
        <w:rPr>
          <w:lang w:val="fr-FR"/>
        </w:rPr>
      </w:pPr>
      <w:r w:rsidRPr="00995ED2">
        <w:rPr>
          <w:lang w:val="fr-FR"/>
        </w:rPr>
        <w:t>Plaider en faveur de l’adoption de politiques de santé sexuelle et reproductive sur le lieu de travail par trois parties prenantes directement impliquées dans l’industrie de la pêche dans la région.</w:t>
      </w:r>
    </w:p>
    <w:p w14:paraId="78E06161" w14:textId="77777777" w:rsidR="00995ED2" w:rsidRPr="00995ED2" w:rsidRDefault="00995ED2" w:rsidP="00995ED2">
      <w:pPr>
        <w:rPr>
          <w:b/>
          <w:bCs/>
          <w:lang w:val="fr-FR"/>
        </w:rPr>
      </w:pPr>
      <w:r w:rsidRPr="00995ED2">
        <w:rPr>
          <w:b/>
          <w:bCs/>
          <w:lang w:val="fr-FR"/>
        </w:rPr>
        <w:t>II. Zone d’intervention du projet</w:t>
      </w:r>
    </w:p>
    <w:p w14:paraId="5304C9E3" w14:textId="77777777" w:rsidR="00995ED2" w:rsidRPr="00995ED2" w:rsidRDefault="00995ED2" w:rsidP="00995ED2">
      <w:pPr>
        <w:rPr>
          <w:lang w:val="fr-FR"/>
        </w:rPr>
      </w:pPr>
      <w:r w:rsidRPr="00995ED2">
        <w:rPr>
          <w:lang w:val="fr-FR"/>
        </w:rPr>
        <w:t>Le projet couvre quatre villages :</w:t>
      </w:r>
    </w:p>
    <w:p w14:paraId="79C1E8D8" w14:textId="77777777" w:rsidR="00995ED2" w:rsidRPr="00995ED2" w:rsidRDefault="00995ED2" w:rsidP="00995ED2">
      <w:pPr>
        <w:numPr>
          <w:ilvl w:val="0"/>
          <w:numId w:val="3"/>
        </w:numPr>
      </w:pPr>
      <w:proofErr w:type="spellStart"/>
      <w:proofErr w:type="gramStart"/>
      <w:r w:rsidRPr="00995ED2">
        <w:t>Lemsid</w:t>
      </w:r>
      <w:proofErr w:type="spellEnd"/>
      <w:r w:rsidRPr="00995ED2">
        <w:t xml:space="preserve"> ;</w:t>
      </w:r>
      <w:proofErr w:type="gramEnd"/>
    </w:p>
    <w:p w14:paraId="1F0EAF71" w14:textId="77777777" w:rsidR="00995ED2" w:rsidRPr="00995ED2" w:rsidRDefault="00995ED2" w:rsidP="00995ED2">
      <w:pPr>
        <w:numPr>
          <w:ilvl w:val="0"/>
          <w:numId w:val="3"/>
        </w:numPr>
      </w:pPr>
      <w:proofErr w:type="spellStart"/>
      <w:proofErr w:type="gramStart"/>
      <w:r w:rsidRPr="00995ED2">
        <w:t>Belzakh</w:t>
      </w:r>
      <w:proofErr w:type="spellEnd"/>
      <w:r w:rsidRPr="00995ED2">
        <w:t xml:space="preserve"> ;</w:t>
      </w:r>
      <w:proofErr w:type="gramEnd"/>
    </w:p>
    <w:p w14:paraId="116D3707" w14:textId="77777777" w:rsidR="00995ED2" w:rsidRPr="00995ED2" w:rsidRDefault="00995ED2" w:rsidP="00995ED2">
      <w:pPr>
        <w:numPr>
          <w:ilvl w:val="0"/>
          <w:numId w:val="3"/>
        </w:numPr>
      </w:pPr>
      <w:proofErr w:type="spellStart"/>
      <w:r w:rsidRPr="00995ED2">
        <w:t>Mehygratte</w:t>
      </w:r>
      <w:proofErr w:type="spellEnd"/>
      <w:r w:rsidRPr="00995ED2">
        <w:t xml:space="preserve"> (</w:t>
      </w:r>
      <w:proofErr w:type="spellStart"/>
      <w:r w:rsidRPr="00995ED2">
        <w:t>région</w:t>
      </w:r>
      <w:proofErr w:type="spellEnd"/>
      <w:r w:rsidRPr="00995ED2">
        <w:t xml:space="preserve"> de </w:t>
      </w:r>
      <w:proofErr w:type="spellStart"/>
      <w:r w:rsidRPr="00995ED2">
        <w:t>l’Inchiri</w:t>
      </w:r>
      <w:proofErr w:type="spellEnd"/>
      <w:proofErr w:type="gramStart"/>
      <w:r w:rsidRPr="00995ED2">
        <w:t>) ;</w:t>
      </w:r>
      <w:proofErr w:type="gramEnd"/>
    </w:p>
    <w:p w14:paraId="25E4CB21" w14:textId="77777777" w:rsidR="00995ED2" w:rsidRPr="00995ED2" w:rsidRDefault="00995ED2" w:rsidP="00995ED2">
      <w:pPr>
        <w:numPr>
          <w:ilvl w:val="0"/>
          <w:numId w:val="3"/>
        </w:numPr>
      </w:pPr>
      <w:proofErr w:type="spellStart"/>
      <w:r w:rsidRPr="00995ED2">
        <w:t>Nouamghar</w:t>
      </w:r>
      <w:proofErr w:type="spellEnd"/>
      <w:r w:rsidRPr="00995ED2">
        <w:t xml:space="preserve"> (</w:t>
      </w:r>
      <w:proofErr w:type="spellStart"/>
      <w:r w:rsidRPr="00995ED2">
        <w:t>région</w:t>
      </w:r>
      <w:proofErr w:type="spellEnd"/>
      <w:r w:rsidRPr="00995ED2">
        <w:t xml:space="preserve"> de </w:t>
      </w:r>
      <w:proofErr w:type="spellStart"/>
      <w:r w:rsidRPr="00995ED2">
        <w:t>Nouadhibou</w:t>
      </w:r>
      <w:proofErr w:type="spellEnd"/>
      <w:r w:rsidRPr="00995ED2">
        <w:t>),</w:t>
      </w:r>
    </w:p>
    <w:p w14:paraId="555184AF" w14:textId="77777777" w:rsidR="00995ED2" w:rsidRPr="00995ED2" w:rsidRDefault="00995ED2" w:rsidP="00995ED2">
      <w:pPr>
        <w:rPr>
          <w:lang w:val="fr-FR"/>
        </w:rPr>
      </w:pPr>
      <w:proofErr w:type="gramStart"/>
      <w:r w:rsidRPr="00995ED2">
        <w:rPr>
          <w:lang w:val="fr-FR"/>
        </w:rPr>
        <w:t>situés</w:t>
      </w:r>
      <w:proofErr w:type="gramEnd"/>
      <w:r w:rsidRPr="00995ED2">
        <w:rPr>
          <w:lang w:val="fr-FR"/>
        </w:rPr>
        <w:t xml:space="preserve"> sur la côte atlantique.</w:t>
      </w:r>
    </w:p>
    <w:p w14:paraId="6BF7264A" w14:textId="77777777" w:rsidR="00995ED2" w:rsidRPr="0009073B" w:rsidRDefault="00995ED2" w:rsidP="00995ED2">
      <w:pPr>
        <w:rPr>
          <w:b/>
          <w:bCs/>
          <w:lang w:val="fr-FR"/>
        </w:rPr>
      </w:pPr>
      <w:r w:rsidRPr="0009073B">
        <w:rPr>
          <w:b/>
          <w:bCs/>
          <w:lang w:val="fr-FR"/>
        </w:rPr>
        <w:t>III. Résultats attendus du projet</w:t>
      </w:r>
    </w:p>
    <w:p w14:paraId="0384E11E" w14:textId="11BDD1B4" w:rsidR="00995ED2" w:rsidRPr="00995ED2" w:rsidRDefault="00966D47" w:rsidP="00995ED2">
      <w:pPr>
        <w:numPr>
          <w:ilvl w:val="0"/>
          <w:numId w:val="4"/>
        </w:numPr>
        <w:rPr>
          <w:lang w:val="fr-FR"/>
        </w:rPr>
      </w:pPr>
      <w:r w:rsidRPr="00995ED2">
        <w:rPr>
          <w:lang w:val="fr-FR"/>
        </w:rPr>
        <w:t>Augmentation</w:t>
      </w:r>
      <w:r w:rsidR="00995ED2" w:rsidRPr="00995ED2">
        <w:rPr>
          <w:lang w:val="fr-FR"/>
        </w:rPr>
        <w:t xml:space="preserve"> de l’accès des marins</w:t>
      </w:r>
      <w:r>
        <w:rPr>
          <w:lang w:val="fr-FR"/>
        </w:rPr>
        <w:t>/</w:t>
      </w:r>
      <w:r w:rsidR="00995ED2" w:rsidRPr="00995ED2">
        <w:rPr>
          <w:lang w:val="fr-FR"/>
        </w:rPr>
        <w:t>pêcheurs aux services de santé sexuelle et reproductive.</w:t>
      </w:r>
    </w:p>
    <w:p w14:paraId="1BBCF5AC" w14:textId="77777777" w:rsidR="00995ED2" w:rsidRPr="00995ED2" w:rsidRDefault="00995ED2" w:rsidP="00995ED2">
      <w:pPr>
        <w:numPr>
          <w:ilvl w:val="0"/>
          <w:numId w:val="4"/>
        </w:numPr>
        <w:rPr>
          <w:lang w:val="fr-FR"/>
        </w:rPr>
      </w:pPr>
      <w:r w:rsidRPr="00995ED2">
        <w:rPr>
          <w:lang w:val="fr-FR"/>
        </w:rPr>
        <w:t>Réduction de 10 % de la prévalence des violences sexuelles et basées sur le genre.</w:t>
      </w:r>
    </w:p>
    <w:p w14:paraId="3B297CAF" w14:textId="77777777" w:rsidR="00995ED2" w:rsidRPr="00995ED2" w:rsidRDefault="00995ED2" w:rsidP="00995ED2">
      <w:pPr>
        <w:rPr>
          <w:lang w:val="fr-FR"/>
        </w:rPr>
      </w:pPr>
      <w:r w:rsidRPr="00995ED2">
        <w:rPr>
          <w:lang w:val="fr-FR"/>
        </w:rPr>
        <w:t>Le changement attendu est l’émergence de marins-pêcheurs moins exposés à la violence, capables de faire des choix éclairés concernant leur santé sexuelle et ayant accès aux services de santé sexuelle et reproductive sans discrimination ni stigmatisation.</w:t>
      </w:r>
    </w:p>
    <w:p w14:paraId="5D0B3982" w14:textId="77777777" w:rsidR="00995ED2" w:rsidRPr="00995ED2" w:rsidRDefault="00995ED2" w:rsidP="00995ED2">
      <w:pPr>
        <w:rPr>
          <w:b/>
          <w:bCs/>
          <w:lang w:val="fr-FR"/>
        </w:rPr>
      </w:pPr>
      <w:r w:rsidRPr="00995ED2">
        <w:rPr>
          <w:b/>
          <w:bCs/>
          <w:lang w:val="fr-FR"/>
        </w:rPr>
        <w:lastRenderedPageBreak/>
        <w:t>IV. Objectifs de l’évaluation finale</w:t>
      </w:r>
    </w:p>
    <w:p w14:paraId="12AA0712" w14:textId="77777777" w:rsidR="00995ED2" w:rsidRPr="00995ED2" w:rsidRDefault="00995ED2" w:rsidP="00995ED2">
      <w:pPr>
        <w:rPr>
          <w:lang w:val="fr-FR"/>
        </w:rPr>
      </w:pPr>
      <w:r w:rsidRPr="00995ED2">
        <w:rPr>
          <w:lang w:val="fr-FR"/>
        </w:rPr>
        <w:t>Cette évaluation finale prendra en compte l’ensemble des actions prévues dans le document du projet. Elle vise à apprécier les progrès réalisés vers l’atteinte des résultats attendus, en comparaison avec l’étude de référence réalisée au début du projet (T0).</w:t>
      </w:r>
    </w:p>
    <w:p w14:paraId="1FDE0506" w14:textId="77777777" w:rsidR="00995ED2" w:rsidRPr="00995ED2" w:rsidRDefault="00995ED2" w:rsidP="00995ED2">
      <w:r w:rsidRPr="00995ED2">
        <w:t xml:space="preserve">Elle </w:t>
      </w:r>
      <w:proofErr w:type="spellStart"/>
      <w:r w:rsidRPr="00995ED2">
        <w:t>permettra</w:t>
      </w:r>
      <w:proofErr w:type="spellEnd"/>
      <w:r w:rsidRPr="00995ED2">
        <w:t xml:space="preserve"> </w:t>
      </w:r>
      <w:proofErr w:type="spellStart"/>
      <w:proofErr w:type="gramStart"/>
      <w:r w:rsidRPr="00995ED2">
        <w:t>également</w:t>
      </w:r>
      <w:proofErr w:type="spellEnd"/>
      <w:r w:rsidRPr="00995ED2">
        <w:t xml:space="preserve"> :</w:t>
      </w:r>
      <w:proofErr w:type="gramEnd"/>
    </w:p>
    <w:p w14:paraId="23737599" w14:textId="77777777" w:rsidR="00995ED2" w:rsidRPr="00995ED2" w:rsidRDefault="00995ED2" w:rsidP="00995ED2">
      <w:pPr>
        <w:numPr>
          <w:ilvl w:val="0"/>
          <w:numId w:val="5"/>
        </w:numPr>
        <w:rPr>
          <w:lang w:val="fr-FR"/>
        </w:rPr>
      </w:pPr>
      <w:proofErr w:type="gramStart"/>
      <w:r w:rsidRPr="00995ED2">
        <w:rPr>
          <w:lang w:val="fr-FR"/>
        </w:rPr>
        <w:t>de</w:t>
      </w:r>
      <w:proofErr w:type="gramEnd"/>
      <w:r w:rsidRPr="00995ED2">
        <w:rPr>
          <w:lang w:val="fr-FR"/>
        </w:rPr>
        <w:t xml:space="preserve"> démontrer la contribution du projet à l’amélioration de la santé sexuelle et reproductive sur les sites d’intervention ;</w:t>
      </w:r>
    </w:p>
    <w:p w14:paraId="1F732DD3" w14:textId="77777777" w:rsidR="00995ED2" w:rsidRPr="00995ED2" w:rsidRDefault="00995ED2" w:rsidP="00995ED2">
      <w:pPr>
        <w:numPr>
          <w:ilvl w:val="0"/>
          <w:numId w:val="5"/>
        </w:numPr>
        <w:rPr>
          <w:lang w:val="fr-FR"/>
        </w:rPr>
      </w:pPr>
      <w:proofErr w:type="gramStart"/>
      <w:r w:rsidRPr="00995ED2">
        <w:rPr>
          <w:lang w:val="fr-FR"/>
        </w:rPr>
        <w:t>de</w:t>
      </w:r>
      <w:proofErr w:type="gramEnd"/>
      <w:r w:rsidRPr="00995ED2">
        <w:rPr>
          <w:lang w:val="fr-FR"/>
        </w:rPr>
        <w:t xml:space="preserve"> formuler des recommandations stratégiques et opérationnelles tirées des leçons apprises, à partager avec les parties prenantes, les bailleurs et les bénéficiaires, en vue d’une éventuelle deuxième phase.</w:t>
      </w:r>
    </w:p>
    <w:p w14:paraId="20B1B6D2" w14:textId="77777777" w:rsidR="00995ED2" w:rsidRPr="00995ED2" w:rsidRDefault="00995ED2" w:rsidP="00995ED2">
      <w:pPr>
        <w:rPr>
          <w:lang w:val="fr-FR"/>
        </w:rPr>
      </w:pPr>
      <w:r w:rsidRPr="00995ED2">
        <w:rPr>
          <w:lang w:val="fr-FR"/>
        </w:rPr>
        <w:t>Plus spécifiquement, il s’agira de :</w:t>
      </w:r>
    </w:p>
    <w:p w14:paraId="5CBF4E7C" w14:textId="77777777" w:rsidR="00995ED2" w:rsidRPr="00995ED2" w:rsidRDefault="00995ED2" w:rsidP="00995ED2">
      <w:pPr>
        <w:numPr>
          <w:ilvl w:val="0"/>
          <w:numId w:val="6"/>
        </w:numPr>
        <w:rPr>
          <w:lang w:val="fr-FR"/>
        </w:rPr>
      </w:pPr>
      <w:proofErr w:type="gramStart"/>
      <w:r w:rsidRPr="00995ED2">
        <w:rPr>
          <w:lang w:val="fr-FR"/>
        </w:rPr>
        <w:t>montrer</w:t>
      </w:r>
      <w:proofErr w:type="gramEnd"/>
      <w:r w:rsidRPr="00995ED2">
        <w:rPr>
          <w:lang w:val="fr-FR"/>
        </w:rPr>
        <w:t xml:space="preserve"> dans quelle mesure la formulation du projet et l’approche utilisée répondent aux besoins identifiés ;</w:t>
      </w:r>
    </w:p>
    <w:p w14:paraId="3232CDBB" w14:textId="77777777" w:rsidR="00995ED2" w:rsidRPr="00995ED2" w:rsidRDefault="00995ED2" w:rsidP="00995ED2">
      <w:pPr>
        <w:numPr>
          <w:ilvl w:val="0"/>
          <w:numId w:val="6"/>
        </w:numPr>
        <w:rPr>
          <w:lang w:val="fr-FR"/>
        </w:rPr>
      </w:pPr>
      <w:proofErr w:type="gramStart"/>
      <w:r w:rsidRPr="00995ED2">
        <w:rPr>
          <w:lang w:val="fr-FR"/>
        </w:rPr>
        <w:t>évaluer</w:t>
      </w:r>
      <w:proofErr w:type="gramEnd"/>
      <w:r w:rsidRPr="00995ED2">
        <w:rPr>
          <w:lang w:val="fr-FR"/>
        </w:rPr>
        <w:t xml:space="preserve"> les indicateurs quantitatifs et qualitatifs du projet et expliquer les écarts éventuels ;</w:t>
      </w:r>
    </w:p>
    <w:p w14:paraId="620B3AE0" w14:textId="77777777" w:rsidR="00995ED2" w:rsidRPr="00995ED2" w:rsidRDefault="00995ED2" w:rsidP="00995ED2">
      <w:pPr>
        <w:numPr>
          <w:ilvl w:val="0"/>
          <w:numId w:val="6"/>
        </w:numPr>
        <w:rPr>
          <w:lang w:val="fr-FR"/>
        </w:rPr>
      </w:pPr>
      <w:proofErr w:type="gramStart"/>
      <w:r w:rsidRPr="00995ED2">
        <w:rPr>
          <w:lang w:val="fr-FR"/>
        </w:rPr>
        <w:t>examiner</w:t>
      </w:r>
      <w:proofErr w:type="gramEnd"/>
      <w:r w:rsidRPr="00995ED2">
        <w:rPr>
          <w:lang w:val="fr-FR"/>
        </w:rPr>
        <w:t xml:space="preserve"> les progrès accomplis dans l’atteinte des résultats attendus, en mettant en évidence les forces et les faiblesses ;</w:t>
      </w:r>
    </w:p>
    <w:p w14:paraId="63DE8933" w14:textId="77777777" w:rsidR="00995ED2" w:rsidRPr="00995ED2" w:rsidRDefault="00995ED2" w:rsidP="00995ED2">
      <w:pPr>
        <w:numPr>
          <w:ilvl w:val="0"/>
          <w:numId w:val="6"/>
        </w:numPr>
        <w:rPr>
          <w:lang w:val="fr-FR"/>
        </w:rPr>
      </w:pPr>
      <w:proofErr w:type="gramStart"/>
      <w:r w:rsidRPr="00995ED2">
        <w:rPr>
          <w:lang w:val="fr-FR"/>
        </w:rPr>
        <w:t>analyser</w:t>
      </w:r>
      <w:proofErr w:type="gramEnd"/>
      <w:r w:rsidRPr="00995ED2">
        <w:rPr>
          <w:lang w:val="fr-FR"/>
        </w:rPr>
        <w:t xml:space="preserve"> les facteurs ayant influencé positivement ou négativement l’atteinte des résultats ;</w:t>
      </w:r>
    </w:p>
    <w:p w14:paraId="6B4263F5" w14:textId="77777777" w:rsidR="00995ED2" w:rsidRPr="00995ED2" w:rsidRDefault="00995ED2" w:rsidP="00995ED2">
      <w:pPr>
        <w:numPr>
          <w:ilvl w:val="0"/>
          <w:numId w:val="6"/>
        </w:numPr>
        <w:rPr>
          <w:lang w:val="fr-FR"/>
        </w:rPr>
      </w:pPr>
      <w:proofErr w:type="gramStart"/>
      <w:r w:rsidRPr="00995ED2">
        <w:rPr>
          <w:lang w:val="fr-FR"/>
        </w:rPr>
        <w:t>évaluer</w:t>
      </w:r>
      <w:proofErr w:type="gramEnd"/>
      <w:r w:rsidRPr="00995ED2">
        <w:rPr>
          <w:lang w:val="fr-FR"/>
        </w:rPr>
        <w:t xml:space="preserve"> la durabilité des résultats attendus, notamment la continuité de l’offre de services après la fin du projet ;</w:t>
      </w:r>
    </w:p>
    <w:p w14:paraId="6D01A690" w14:textId="77777777" w:rsidR="00995ED2" w:rsidRPr="00995ED2" w:rsidRDefault="00995ED2" w:rsidP="00995ED2">
      <w:pPr>
        <w:numPr>
          <w:ilvl w:val="0"/>
          <w:numId w:val="6"/>
        </w:numPr>
        <w:rPr>
          <w:lang w:val="fr-FR"/>
        </w:rPr>
      </w:pPr>
      <w:proofErr w:type="gramStart"/>
      <w:r w:rsidRPr="00995ED2">
        <w:rPr>
          <w:lang w:val="fr-FR"/>
        </w:rPr>
        <w:t>apprécier</w:t>
      </w:r>
      <w:proofErr w:type="gramEnd"/>
      <w:r w:rsidRPr="00995ED2">
        <w:rPr>
          <w:lang w:val="fr-FR"/>
        </w:rPr>
        <w:t xml:space="preserve"> la stratégie de partenariat ainsi que les mécanismes de </w:t>
      </w:r>
      <w:proofErr w:type="spellStart"/>
      <w:r w:rsidRPr="00995ED2">
        <w:rPr>
          <w:lang w:val="fr-FR"/>
        </w:rPr>
        <w:t>reporting</w:t>
      </w:r>
      <w:proofErr w:type="spellEnd"/>
      <w:r w:rsidRPr="00995ED2">
        <w:rPr>
          <w:lang w:val="fr-FR"/>
        </w:rPr>
        <w:t xml:space="preserve"> ;</w:t>
      </w:r>
    </w:p>
    <w:p w14:paraId="735FC630" w14:textId="77777777" w:rsidR="00995ED2" w:rsidRPr="00995ED2" w:rsidRDefault="00995ED2" w:rsidP="00995ED2">
      <w:pPr>
        <w:numPr>
          <w:ilvl w:val="0"/>
          <w:numId w:val="6"/>
        </w:numPr>
        <w:rPr>
          <w:lang w:val="fr-FR"/>
        </w:rPr>
      </w:pPr>
      <w:proofErr w:type="gramStart"/>
      <w:r w:rsidRPr="00995ED2">
        <w:rPr>
          <w:lang w:val="fr-FR"/>
        </w:rPr>
        <w:t>analyser</w:t>
      </w:r>
      <w:proofErr w:type="gramEnd"/>
      <w:r w:rsidRPr="00995ED2">
        <w:rPr>
          <w:lang w:val="fr-FR"/>
        </w:rPr>
        <w:t xml:space="preserve"> la pertinence des indicateurs de suivi-évaluation et leur adéquation à la mesure des résultats ;</w:t>
      </w:r>
    </w:p>
    <w:p w14:paraId="3C432496" w14:textId="77777777" w:rsidR="00995ED2" w:rsidRPr="00995ED2" w:rsidRDefault="00995ED2" w:rsidP="00995ED2">
      <w:pPr>
        <w:numPr>
          <w:ilvl w:val="0"/>
          <w:numId w:val="6"/>
        </w:numPr>
        <w:rPr>
          <w:lang w:val="fr-FR"/>
        </w:rPr>
      </w:pPr>
      <w:proofErr w:type="gramStart"/>
      <w:r w:rsidRPr="00995ED2">
        <w:rPr>
          <w:lang w:val="fr-FR"/>
        </w:rPr>
        <w:t>examiner</w:t>
      </w:r>
      <w:proofErr w:type="gramEnd"/>
      <w:r w:rsidRPr="00995ED2">
        <w:rPr>
          <w:lang w:val="fr-FR"/>
        </w:rPr>
        <w:t xml:space="preserve"> la contribution du projet à la promotion de l’équité et de l’égalité entre les sexes ;</w:t>
      </w:r>
    </w:p>
    <w:p w14:paraId="76DF5FC9" w14:textId="77777777" w:rsidR="00995ED2" w:rsidRPr="00995ED2" w:rsidRDefault="00995ED2" w:rsidP="00995ED2">
      <w:pPr>
        <w:numPr>
          <w:ilvl w:val="0"/>
          <w:numId w:val="6"/>
        </w:numPr>
        <w:rPr>
          <w:lang w:val="fr-FR"/>
        </w:rPr>
      </w:pPr>
      <w:proofErr w:type="gramStart"/>
      <w:r w:rsidRPr="00995ED2">
        <w:rPr>
          <w:lang w:val="fr-FR"/>
        </w:rPr>
        <w:t>mettre</w:t>
      </w:r>
      <w:proofErr w:type="gramEnd"/>
      <w:r w:rsidRPr="00995ED2">
        <w:rPr>
          <w:lang w:val="fr-FR"/>
        </w:rPr>
        <w:t xml:space="preserve"> en évidence les leçons apprises et proposer des recommandations pour la phase suivante.</w:t>
      </w:r>
    </w:p>
    <w:p w14:paraId="00541115" w14:textId="77777777" w:rsidR="00995ED2" w:rsidRPr="00995ED2" w:rsidRDefault="00995ED2" w:rsidP="00995ED2">
      <w:pPr>
        <w:rPr>
          <w:b/>
          <w:bCs/>
          <w:lang w:val="fr-FR"/>
        </w:rPr>
      </w:pPr>
      <w:r w:rsidRPr="00995ED2">
        <w:rPr>
          <w:b/>
          <w:bCs/>
          <w:lang w:val="fr-FR"/>
        </w:rPr>
        <w:t>V. Critères d’évaluation</w:t>
      </w:r>
    </w:p>
    <w:p w14:paraId="341FF639" w14:textId="77777777" w:rsidR="00995ED2" w:rsidRPr="00995ED2" w:rsidRDefault="00995ED2" w:rsidP="00995ED2">
      <w:pPr>
        <w:rPr>
          <w:lang w:val="fr-FR"/>
        </w:rPr>
      </w:pPr>
      <w:r w:rsidRPr="00995ED2">
        <w:rPr>
          <w:lang w:val="fr-FR"/>
        </w:rPr>
        <w:t>L’évaluation sera conduite selon les critères suivants :</w:t>
      </w:r>
    </w:p>
    <w:p w14:paraId="4935A6E6" w14:textId="77777777" w:rsidR="00995ED2" w:rsidRPr="00995ED2" w:rsidRDefault="00995ED2" w:rsidP="00995ED2">
      <w:pPr>
        <w:rPr>
          <w:b/>
          <w:bCs/>
          <w:lang w:val="fr-FR"/>
        </w:rPr>
      </w:pPr>
      <w:r w:rsidRPr="00995ED2">
        <w:rPr>
          <w:b/>
          <w:bCs/>
          <w:lang w:val="fr-FR"/>
        </w:rPr>
        <w:lastRenderedPageBreak/>
        <w:t>Couverture</w:t>
      </w:r>
    </w:p>
    <w:p w14:paraId="2A50A4A4" w14:textId="77777777" w:rsidR="00995ED2" w:rsidRPr="00995ED2" w:rsidRDefault="00995ED2" w:rsidP="00995ED2">
      <w:pPr>
        <w:rPr>
          <w:lang w:val="fr-FR"/>
        </w:rPr>
      </w:pPr>
      <w:r w:rsidRPr="00995ED2">
        <w:rPr>
          <w:lang w:val="fr-FR"/>
        </w:rPr>
        <w:t>Vérifier si la sélection des bénéficiaires a respecté les critères de participation et l’approche genre, si les détenteurs de droits, les populations bénéficiaires et les secteurs d’intervention sont prioritaires, et si la couverture est adéquate au regard des ressources du projet. Examiner également la pertinence des mécanismes facilitant l’accès des femmes aux services.</w:t>
      </w:r>
    </w:p>
    <w:p w14:paraId="72C8EE4F" w14:textId="77777777" w:rsidR="00995ED2" w:rsidRPr="00995ED2" w:rsidRDefault="00995ED2" w:rsidP="00995ED2">
      <w:pPr>
        <w:rPr>
          <w:b/>
          <w:bCs/>
          <w:lang w:val="fr-FR"/>
        </w:rPr>
      </w:pPr>
      <w:r w:rsidRPr="00995ED2">
        <w:rPr>
          <w:b/>
          <w:bCs/>
          <w:lang w:val="fr-FR"/>
        </w:rPr>
        <w:t>Participation</w:t>
      </w:r>
    </w:p>
    <w:p w14:paraId="216B3886" w14:textId="77777777" w:rsidR="00995ED2" w:rsidRPr="00995ED2" w:rsidRDefault="00995ED2" w:rsidP="00995ED2">
      <w:pPr>
        <w:rPr>
          <w:lang w:val="fr-FR"/>
        </w:rPr>
      </w:pPr>
      <w:r w:rsidRPr="00995ED2">
        <w:rPr>
          <w:lang w:val="fr-FR"/>
        </w:rPr>
        <w:t>Déterminer dans quelle mesure les autorités locales, les acteurs communautaires, les détenteurs de droits et les bénéficiaires ont été impliqués et ont effectivement participé à la mise en œuvre des activités.</w:t>
      </w:r>
    </w:p>
    <w:p w14:paraId="29642ED8" w14:textId="77777777" w:rsidR="00995ED2" w:rsidRPr="00995ED2" w:rsidRDefault="00995ED2" w:rsidP="00995ED2">
      <w:pPr>
        <w:rPr>
          <w:b/>
          <w:bCs/>
          <w:lang w:val="fr-FR"/>
        </w:rPr>
      </w:pPr>
      <w:r w:rsidRPr="00995ED2">
        <w:rPr>
          <w:b/>
          <w:bCs/>
          <w:lang w:val="fr-FR"/>
        </w:rPr>
        <w:t>Appropriation</w:t>
      </w:r>
    </w:p>
    <w:p w14:paraId="0365D6DC" w14:textId="77777777" w:rsidR="00995ED2" w:rsidRPr="00995ED2" w:rsidRDefault="00995ED2" w:rsidP="00995ED2">
      <w:pPr>
        <w:rPr>
          <w:lang w:val="fr-FR"/>
        </w:rPr>
      </w:pPr>
      <w:r w:rsidRPr="00995ED2">
        <w:rPr>
          <w:lang w:val="fr-FR"/>
        </w:rPr>
        <w:t>Évaluer si le comité de travail intersectoriel et les organisations de la société civile ont mis en place des mécanismes internes assurant la pérennité de leurs actions et apprécier le rôle de leadership joué par les agents communautaires.</w:t>
      </w:r>
    </w:p>
    <w:p w14:paraId="74F066D9" w14:textId="77777777" w:rsidR="00995ED2" w:rsidRPr="00995ED2" w:rsidRDefault="00995ED2" w:rsidP="00995ED2">
      <w:pPr>
        <w:rPr>
          <w:b/>
          <w:bCs/>
          <w:lang w:val="fr-FR"/>
        </w:rPr>
      </w:pPr>
      <w:r w:rsidRPr="00995ED2">
        <w:rPr>
          <w:b/>
          <w:bCs/>
          <w:lang w:val="fr-FR"/>
        </w:rPr>
        <w:t>Capacité d’autonomie</w:t>
      </w:r>
    </w:p>
    <w:p w14:paraId="45A68420" w14:textId="77777777" w:rsidR="00995ED2" w:rsidRPr="00995ED2" w:rsidRDefault="00995ED2" w:rsidP="00995ED2">
      <w:pPr>
        <w:rPr>
          <w:lang w:val="fr-FR"/>
        </w:rPr>
      </w:pPr>
      <w:r w:rsidRPr="00995ED2">
        <w:rPr>
          <w:lang w:val="fr-FR"/>
        </w:rPr>
        <w:t>Déterminer dans quelle mesure les détenteurs de droits et les bénéficiaires connaissent leurs droits.</w:t>
      </w:r>
    </w:p>
    <w:p w14:paraId="20278BAE" w14:textId="77777777" w:rsidR="00995ED2" w:rsidRPr="00995ED2" w:rsidRDefault="00995ED2" w:rsidP="00995ED2">
      <w:pPr>
        <w:rPr>
          <w:b/>
          <w:bCs/>
          <w:lang w:val="fr-FR"/>
        </w:rPr>
      </w:pPr>
      <w:r w:rsidRPr="00995ED2">
        <w:rPr>
          <w:b/>
          <w:bCs/>
          <w:lang w:val="fr-FR"/>
        </w:rPr>
        <w:t>Pertinence</w:t>
      </w:r>
    </w:p>
    <w:p w14:paraId="282653B3" w14:textId="77777777" w:rsidR="00995ED2" w:rsidRPr="00995ED2" w:rsidRDefault="00995ED2" w:rsidP="00995ED2">
      <w:pPr>
        <w:rPr>
          <w:lang w:val="fr-FR"/>
        </w:rPr>
      </w:pPr>
      <w:r w:rsidRPr="00995ED2">
        <w:rPr>
          <w:lang w:val="fr-FR"/>
        </w:rPr>
        <w:t>Apprécier si les activités mises en œuvre répondaient aux besoins et priorités des populations ciblées et étaient cohérentes avec les politiques publiques. Évaluer également les mécanismes de coordination et de synergie avec les autres acteurs afin d’éviter les duplications.</w:t>
      </w:r>
    </w:p>
    <w:p w14:paraId="6165CA6C" w14:textId="77777777" w:rsidR="00995ED2" w:rsidRPr="00995ED2" w:rsidRDefault="00995ED2" w:rsidP="00995ED2">
      <w:pPr>
        <w:rPr>
          <w:b/>
          <w:bCs/>
          <w:lang w:val="fr-FR"/>
        </w:rPr>
      </w:pPr>
      <w:r w:rsidRPr="00995ED2">
        <w:rPr>
          <w:b/>
          <w:bCs/>
          <w:lang w:val="fr-FR"/>
        </w:rPr>
        <w:t>Efficience</w:t>
      </w:r>
    </w:p>
    <w:p w14:paraId="19138D9E" w14:textId="77777777" w:rsidR="00995ED2" w:rsidRPr="00995ED2" w:rsidRDefault="00995ED2" w:rsidP="00995ED2">
      <w:pPr>
        <w:rPr>
          <w:lang w:val="fr-FR"/>
        </w:rPr>
      </w:pPr>
      <w:r w:rsidRPr="00995ED2">
        <w:rPr>
          <w:lang w:val="fr-FR"/>
        </w:rPr>
        <w:t>Déterminer si les indicateurs prévus permettent de mesurer adéquatement les résultats et les objectifs liés au genre. Évaluer la disponibilité des ressources humaines et matérielles ainsi que le respect du calendrier prévu.</w:t>
      </w:r>
    </w:p>
    <w:p w14:paraId="1E2CADF5" w14:textId="77777777" w:rsidR="00995ED2" w:rsidRPr="00995ED2" w:rsidRDefault="00995ED2" w:rsidP="00995ED2">
      <w:pPr>
        <w:rPr>
          <w:b/>
          <w:bCs/>
          <w:lang w:val="fr-FR"/>
        </w:rPr>
      </w:pPr>
      <w:r w:rsidRPr="00995ED2">
        <w:rPr>
          <w:b/>
          <w:bCs/>
          <w:lang w:val="fr-FR"/>
        </w:rPr>
        <w:t>Impact</w:t>
      </w:r>
    </w:p>
    <w:p w14:paraId="331A5563" w14:textId="77777777" w:rsidR="00995ED2" w:rsidRPr="00995ED2" w:rsidRDefault="00995ED2" w:rsidP="00995ED2">
      <w:pPr>
        <w:rPr>
          <w:lang w:val="fr-FR"/>
        </w:rPr>
      </w:pPr>
      <w:r w:rsidRPr="00995ED2">
        <w:rPr>
          <w:lang w:val="fr-FR"/>
        </w:rPr>
        <w:t>Déterminer si l’intervention a produit des effets positifs auprès des détenteurs de droits et des populations bénéficiaires et si ces effets sont directement attribuables au projet. Examiner également son impact sur les besoins pratiques et stratégiques des femmes ainsi que les améliorations nécessaires pour renforcer cet impact.</w:t>
      </w:r>
    </w:p>
    <w:p w14:paraId="144A9873" w14:textId="77777777" w:rsidR="00995ED2" w:rsidRPr="00995ED2" w:rsidRDefault="00995ED2" w:rsidP="00995ED2">
      <w:pPr>
        <w:rPr>
          <w:b/>
          <w:bCs/>
          <w:lang w:val="fr-FR"/>
        </w:rPr>
      </w:pPr>
      <w:r w:rsidRPr="00995ED2">
        <w:rPr>
          <w:b/>
          <w:bCs/>
          <w:lang w:val="fr-FR"/>
        </w:rPr>
        <w:lastRenderedPageBreak/>
        <w:t>Durabilité</w:t>
      </w:r>
    </w:p>
    <w:p w14:paraId="0CC73352" w14:textId="77777777" w:rsidR="00995ED2" w:rsidRPr="00995ED2" w:rsidRDefault="00995ED2" w:rsidP="00995ED2">
      <w:pPr>
        <w:rPr>
          <w:lang w:val="fr-FR"/>
        </w:rPr>
      </w:pPr>
      <w:r w:rsidRPr="00995ED2">
        <w:rPr>
          <w:lang w:val="fr-FR"/>
        </w:rPr>
        <w:t>Déterminer quels aspects du projet se poursuivront après la fin de l’intervention et identifier les facteurs influençant la pérennité dans chacun des domaines d’action.</w:t>
      </w:r>
    </w:p>
    <w:p w14:paraId="4EF4F44E" w14:textId="77777777" w:rsidR="00995ED2" w:rsidRPr="00995ED2" w:rsidRDefault="00995ED2" w:rsidP="00995ED2">
      <w:pPr>
        <w:rPr>
          <w:b/>
          <w:bCs/>
          <w:lang w:val="fr-FR"/>
        </w:rPr>
      </w:pPr>
      <w:r w:rsidRPr="00995ED2">
        <w:rPr>
          <w:b/>
          <w:bCs/>
          <w:lang w:val="fr-FR"/>
        </w:rPr>
        <w:t>VI. Profil de l’équipe d’évaluation</w:t>
      </w:r>
    </w:p>
    <w:p w14:paraId="264D3884" w14:textId="77777777" w:rsidR="00995ED2" w:rsidRPr="00995ED2" w:rsidRDefault="00995ED2" w:rsidP="00995ED2">
      <w:pPr>
        <w:rPr>
          <w:lang w:val="fr-FR"/>
        </w:rPr>
      </w:pPr>
      <w:r w:rsidRPr="00995ED2">
        <w:rPr>
          <w:lang w:val="fr-FR"/>
        </w:rPr>
        <w:t>Le consultant ou l’équipe de consultants devra satisfaire aux exigences minimales suivantes :</w:t>
      </w:r>
    </w:p>
    <w:p w14:paraId="7B7DF42B" w14:textId="77777777" w:rsidR="00995ED2" w:rsidRPr="00995ED2" w:rsidRDefault="00995ED2" w:rsidP="00995ED2">
      <w:pPr>
        <w:numPr>
          <w:ilvl w:val="0"/>
          <w:numId w:val="7"/>
        </w:numPr>
        <w:rPr>
          <w:lang w:val="fr-FR"/>
        </w:rPr>
      </w:pPr>
      <w:r w:rsidRPr="00995ED2">
        <w:rPr>
          <w:lang w:val="fr-FR"/>
        </w:rPr>
        <w:t>Expérience démontrée dans la conception et la réalisation d’évaluations de projets de développement (au moins cinq évaluations, dont trois dans le pays d’intervention et/ou le secteur concerné) ;</w:t>
      </w:r>
    </w:p>
    <w:p w14:paraId="2A0D1C1E" w14:textId="77777777" w:rsidR="00995ED2" w:rsidRPr="00995ED2" w:rsidRDefault="00995ED2" w:rsidP="00995ED2">
      <w:pPr>
        <w:numPr>
          <w:ilvl w:val="0"/>
          <w:numId w:val="7"/>
        </w:numPr>
        <w:rPr>
          <w:lang w:val="fr-FR"/>
        </w:rPr>
      </w:pPr>
      <w:r w:rsidRPr="00995ED2">
        <w:rPr>
          <w:lang w:val="fr-FR"/>
        </w:rPr>
        <w:t>Formation spécifique en méthodologies et techniques de recherche sociale ;</w:t>
      </w:r>
    </w:p>
    <w:p w14:paraId="53FC8689" w14:textId="77777777" w:rsidR="00995ED2" w:rsidRPr="00995ED2" w:rsidRDefault="00995ED2" w:rsidP="00995ED2">
      <w:pPr>
        <w:numPr>
          <w:ilvl w:val="0"/>
          <w:numId w:val="7"/>
        </w:numPr>
        <w:rPr>
          <w:lang w:val="fr-FR"/>
        </w:rPr>
      </w:pPr>
      <w:r w:rsidRPr="00995ED2">
        <w:rPr>
          <w:lang w:val="fr-FR"/>
        </w:rPr>
        <w:t>Connaissance et expérience du secteur de la santé sexuelle et reproductive ;</w:t>
      </w:r>
    </w:p>
    <w:p w14:paraId="19C2153B" w14:textId="77777777" w:rsidR="00995ED2" w:rsidRPr="00995ED2" w:rsidRDefault="00995ED2" w:rsidP="00995ED2">
      <w:pPr>
        <w:numPr>
          <w:ilvl w:val="0"/>
          <w:numId w:val="7"/>
        </w:numPr>
        <w:rPr>
          <w:lang w:val="fr-FR"/>
        </w:rPr>
      </w:pPr>
      <w:r w:rsidRPr="00995ED2">
        <w:rPr>
          <w:lang w:val="fr-FR"/>
        </w:rPr>
        <w:t>Formation et expérience en égalité de genre et intégration du genre dans les évaluations ;</w:t>
      </w:r>
    </w:p>
    <w:p w14:paraId="45B53BA5" w14:textId="77777777" w:rsidR="00995ED2" w:rsidRPr="00995ED2" w:rsidRDefault="00995ED2" w:rsidP="00995ED2">
      <w:pPr>
        <w:numPr>
          <w:ilvl w:val="0"/>
          <w:numId w:val="7"/>
        </w:numPr>
        <w:rPr>
          <w:lang w:val="fr-FR"/>
        </w:rPr>
      </w:pPr>
      <w:r w:rsidRPr="00995ED2">
        <w:rPr>
          <w:lang w:val="fr-FR"/>
        </w:rPr>
        <w:t>Disponibilité pendant toute la durée de l’évaluation, notamment pour les travaux de terrain, les réunions et la restitution des résultats en Mauritanie (sites de l’AMPF et régions ciblées).</w:t>
      </w:r>
    </w:p>
    <w:p w14:paraId="1818E8DB" w14:textId="77777777" w:rsidR="00995ED2" w:rsidRPr="00995ED2" w:rsidRDefault="00995ED2" w:rsidP="00995ED2">
      <w:pPr>
        <w:rPr>
          <w:b/>
          <w:bCs/>
          <w:lang w:val="fr-FR"/>
        </w:rPr>
      </w:pPr>
      <w:r w:rsidRPr="00995ED2">
        <w:rPr>
          <w:b/>
          <w:bCs/>
          <w:lang w:val="fr-FR"/>
        </w:rPr>
        <w:t>VII. Offre technique et financière et critères d’évaluation</w:t>
      </w:r>
    </w:p>
    <w:p w14:paraId="0EA9E9BC" w14:textId="77777777" w:rsidR="00995ED2" w:rsidRPr="00995ED2" w:rsidRDefault="00995ED2" w:rsidP="00995ED2">
      <w:pPr>
        <w:rPr>
          <w:lang w:val="fr-FR"/>
        </w:rPr>
      </w:pPr>
      <w:r w:rsidRPr="00995ED2">
        <w:rPr>
          <w:lang w:val="fr-FR"/>
        </w:rPr>
        <w:t>L’offre devra comprendre au minimum :</w:t>
      </w:r>
    </w:p>
    <w:p w14:paraId="27789269" w14:textId="77777777" w:rsidR="00995ED2" w:rsidRPr="00995ED2" w:rsidRDefault="00995ED2" w:rsidP="00995ED2">
      <w:pPr>
        <w:rPr>
          <w:b/>
          <w:bCs/>
        </w:rPr>
      </w:pPr>
      <w:r w:rsidRPr="00995ED2">
        <w:rPr>
          <w:b/>
          <w:bCs/>
        </w:rPr>
        <w:t xml:space="preserve">Conception </w:t>
      </w:r>
      <w:proofErr w:type="spellStart"/>
      <w:proofErr w:type="gramStart"/>
      <w:r w:rsidRPr="00995ED2">
        <w:rPr>
          <w:b/>
          <w:bCs/>
        </w:rPr>
        <w:t>comprenant</w:t>
      </w:r>
      <w:proofErr w:type="spellEnd"/>
      <w:r w:rsidRPr="00995ED2">
        <w:rPr>
          <w:b/>
          <w:bCs/>
        </w:rPr>
        <w:t xml:space="preserve"> :</w:t>
      </w:r>
      <w:proofErr w:type="gramEnd"/>
    </w:p>
    <w:p w14:paraId="57959A10" w14:textId="77777777" w:rsidR="00995ED2" w:rsidRPr="00995ED2" w:rsidRDefault="00995ED2" w:rsidP="00995ED2">
      <w:pPr>
        <w:numPr>
          <w:ilvl w:val="0"/>
          <w:numId w:val="8"/>
        </w:numPr>
        <w:rPr>
          <w:lang w:val="fr-FR"/>
        </w:rPr>
      </w:pPr>
      <w:proofErr w:type="gramStart"/>
      <w:r w:rsidRPr="00995ED2">
        <w:rPr>
          <w:lang w:val="fr-FR"/>
        </w:rPr>
        <w:t>les</w:t>
      </w:r>
      <w:proofErr w:type="gramEnd"/>
      <w:r w:rsidRPr="00995ED2">
        <w:rPr>
          <w:lang w:val="fr-FR"/>
        </w:rPr>
        <w:t xml:space="preserve"> objectifs et le champ de l’évaluation ;</w:t>
      </w:r>
    </w:p>
    <w:p w14:paraId="21444270" w14:textId="77777777" w:rsidR="00995ED2" w:rsidRPr="00995ED2" w:rsidRDefault="00995ED2" w:rsidP="00995ED2">
      <w:pPr>
        <w:numPr>
          <w:ilvl w:val="0"/>
          <w:numId w:val="8"/>
        </w:numPr>
      </w:pPr>
      <w:proofErr w:type="spellStart"/>
      <w:r w:rsidRPr="00995ED2">
        <w:t>une</w:t>
      </w:r>
      <w:proofErr w:type="spellEnd"/>
      <w:r w:rsidRPr="00995ED2">
        <w:t xml:space="preserve"> </w:t>
      </w:r>
      <w:proofErr w:type="spellStart"/>
      <w:r w:rsidRPr="00995ED2">
        <w:t>approche</w:t>
      </w:r>
      <w:proofErr w:type="spellEnd"/>
      <w:r w:rsidRPr="00995ED2">
        <w:t xml:space="preserve"> </w:t>
      </w:r>
      <w:proofErr w:type="spellStart"/>
      <w:r w:rsidRPr="00995ED2">
        <w:t>méthodologique</w:t>
      </w:r>
      <w:proofErr w:type="spellEnd"/>
      <w:r w:rsidRPr="00995ED2">
        <w:t xml:space="preserve"> </w:t>
      </w:r>
      <w:proofErr w:type="spellStart"/>
      <w:proofErr w:type="gramStart"/>
      <w:r w:rsidRPr="00995ED2">
        <w:t>préliminaire</w:t>
      </w:r>
      <w:proofErr w:type="spellEnd"/>
      <w:r w:rsidRPr="00995ED2">
        <w:t xml:space="preserve"> ;</w:t>
      </w:r>
      <w:proofErr w:type="gramEnd"/>
    </w:p>
    <w:p w14:paraId="52B5885F" w14:textId="77777777" w:rsidR="00995ED2" w:rsidRPr="00995ED2" w:rsidRDefault="00995ED2" w:rsidP="00995ED2">
      <w:pPr>
        <w:numPr>
          <w:ilvl w:val="0"/>
          <w:numId w:val="8"/>
        </w:numPr>
      </w:pPr>
      <w:proofErr w:type="spellStart"/>
      <w:r w:rsidRPr="00995ED2">
        <w:t>l’intégration</w:t>
      </w:r>
      <w:proofErr w:type="spellEnd"/>
      <w:r w:rsidRPr="00995ED2">
        <w:t xml:space="preserve"> des </w:t>
      </w:r>
      <w:proofErr w:type="spellStart"/>
      <w:r w:rsidRPr="00995ED2">
        <w:t>approches</w:t>
      </w:r>
      <w:proofErr w:type="spellEnd"/>
      <w:r w:rsidRPr="00995ED2">
        <w:t xml:space="preserve"> </w:t>
      </w:r>
      <w:proofErr w:type="spellStart"/>
      <w:proofErr w:type="gramStart"/>
      <w:r w:rsidRPr="00995ED2">
        <w:t>transversales</w:t>
      </w:r>
      <w:proofErr w:type="spellEnd"/>
      <w:r w:rsidRPr="00995ED2">
        <w:t xml:space="preserve"> ;</w:t>
      </w:r>
      <w:proofErr w:type="gramEnd"/>
    </w:p>
    <w:p w14:paraId="193D7B82" w14:textId="77777777" w:rsidR="00995ED2" w:rsidRPr="00995ED2" w:rsidRDefault="00995ED2" w:rsidP="00995ED2">
      <w:pPr>
        <w:numPr>
          <w:ilvl w:val="0"/>
          <w:numId w:val="8"/>
        </w:numPr>
        <w:rPr>
          <w:lang w:val="fr-FR"/>
        </w:rPr>
      </w:pPr>
      <w:proofErr w:type="gramStart"/>
      <w:r w:rsidRPr="00995ED2">
        <w:rPr>
          <w:lang w:val="fr-FR"/>
        </w:rPr>
        <w:t>la</w:t>
      </w:r>
      <w:proofErr w:type="gramEnd"/>
      <w:r w:rsidRPr="00995ED2">
        <w:rPr>
          <w:lang w:val="fr-FR"/>
        </w:rPr>
        <w:t xml:space="preserve"> participation des parties prenantes ;</w:t>
      </w:r>
    </w:p>
    <w:p w14:paraId="66B7D948" w14:textId="77777777" w:rsidR="00995ED2" w:rsidRPr="00995ED2" w:rsidRDefault="00995ED2" w:rsidP="00995ED2">
      <w:pPr>
        <w:numPr>
          <w:ilvl w:val="0"/>
          <w:numId w:val="8"/>
        </w:numPr>
        <w:rPr>
          <w:lang w:val="fr-FR"/>
        </w:rPr>
      </w:pPr>
      <w:proofErr w:type="gramStart"/>
      <w:r w:rsidRPr="00995ED2">
        <w:rPr>
          <w:lang w:val="fr-FR"/>
        </w:rPr>
        <w:t>une</w:t>
      </w:r>
      <w:proofErr w:type="gramEnd"/>
      <w:r w:rsidRPr="00995ED2">
        <w:rPr>
          <w:lang w:val="fr-FR"/>
        </w:rPr>
        <w:t xml:space="preserve"> matrice préliminaire d’évaluation présentant :</w:t>
      </w:r>
    </w:p>
    <w:p w14:paraId="36177BB2" w14:textId="77777777" w:rsidR="00995ED2" w:rsidRPr="00995ED2" w:rsidRDefault="00995ED2" w:rsidP="00995ED2">
      <w:pPr>
        <w:numPr>
          <w:ilvl w:val="1"/>
          <w:numId w:val="8"/>
        </w:numPr>
      </w:pPr>
      <w:r w:rsidRPr="00995ED2">
        <w:t>les questions/</w:t>
      </w:r>
      <w:proofErr w:type="spellStart"/>
      <w:r w:rsidRPr="00995ED2">
        <w:t>thèmes</w:t>
      </w:r>
      <w:proofErr w:type="spellEnd"/>
      <w:r w:rsidRPr="00995ED2">
        <w:t xml:space="preserve"> </w:t>
      </w:r>
      <w:proofErr w:type="spellStart"/>
      <w:proofErr w:type="gramStart"/>
      <w:r w:rsidRPr="00995ED2">
        <w:t>d’évaluation</w:t>
      </w:r>
      <w:proofErr w:type="spellEnd"/>
      <w:r w:rsidRPr="00995ED2">
        <w:t xml:space="preserve"> ;</w:t>
      </w:r>
      <w:proofErr w:type="gramEnd"/>
    </w:p>
    <w:p w14:paraId="3DF11BA7" w14:textId="77777777" w:rsidR="00995ED2" w:rsidRPr="00995ED2" w:rsidRDefault="00995ED2" w:rsidP="00995ED2">
      <w:pPr>
        <w:numPr>
          <w:ilvl w:val="1"/>
          <w:numId w:val="8"/>
        </w:numPr>
      </w:pPr>
      <w:r w:rsidRPr="00995ED2">
        <w:t xml:space="preserve">les </w:t>
      </w:r>
      <w:proofErr w:type="spellStart"/>
      <w:r w:rsidRPr="00995ED2">
        <w:t>indicateurs</w:t>
      </w:r>
      <w:proofErr w:type="spellEnd"/>
      <w:r w:rsidRPr="00995ED2">
        <w:t xml:space="preserve"> </w:t>
      </w:r>
      <w:proofErr w:type="spellStart"/>
      <w:proofErr w:type="gramStart"/>
      <w:r w:rsidRPr="00995ED2">
        <w:t>correspondants</w:t>
      </w:r>
      <w:proofErr w:type="spellEnd"/>
      <w:r w:rsidRPr="00995ED2">
        <w:t xml:space="preserve"> ;</w:t>
      </w:r>
      <w:proofErr w:type="gramEnd"/>
    </w:p>
    <w:p w14:paraId="65BEB427" w14:textId="77777777" w:rsidR="00995ED2" w:rsidRPr="00995ED2" w:rsidRDefault="00995ED2" w:rsidP="00995ED2">
      <w:pPr>
        <w:numPr>
          <w:ilvl w:val="1"/>
          <w:numId w:val="8"/>
        </w:numPr>
        <w:rPr>
          <w:lang w:val="fr-FR"/>
        </w:rPr>
      </w:pPr>
      <w:proofErr w:type="gramStart"/>
      <w:r w:rsidRPr="00995ED2">
        <w:rPr>
          <w:lang w:val="fr-FR"/>
        </w:rPr>
        <w:t>les</w:t>
      </w:r>
      <w:proofErr w:type="gramEnd"/>
      <w:r w:rsidRPr="00995ED2">
        <w:rPr>
          <w:lang w:val="fr-FR"/>
        </w:rPr>
        <w:t xml:space="preserve"> techniques de collecte des données.</w:t>
      </w:r>
    </w:p>
    <w:p w14:paraId="601217E1" w14:textId="77777777" w:rsidR="00995ED2" w:rsidRPr="00995ED2" w:rsidRDefault="00995ED2" w:rsidP="00995ED2">
      <w:pPr>
        <w:rPr>
          <w:lang w:val="fr-FR"/>
        </w:rPr>
      </w:pPr>
      <w:r w:rsidRPr="00995ED2">
        <w:rPr>
          <w:lang w:val="fr-FR"/>
        </w:rPr>
        <w:lastRenderedPageBreak/>
        <w:t>L’intégration du genre dans les indicateurs et les méthodes de recherche sera particulièrement appréciée.</w:t>
      </w:r>
    </w:p>
    <w:p w14:paraId="312AF92B" w14:textId="77777777" w:rsidR="00995ED2" w:rsidRPr="00995ED2" w:rsidRDefault="00995ED2" w:rsidP="00995ED2">
      <w:pPr>
        <w:rPr>
          <w:b/>
          <w:bCs/>
        </w:rPr>
      </w:pPr>
      <w:proofErr w:type="spellStart"/>
      <w:r w:rsidRPr="00995ED2">
        <w:rPr>
          <w:b/>
          <w:bCs/>
        </w:rPr>
        <w:t>Autres</w:t>
      </w:r>
      <w:proofErr w:type="spellEnd"/>
      <w:r w:rsidRPr="00995ED2">
        <w:rPr>
          <w:b/>
          <w:bCs/>
        </w:rPr>
        <w:t xml:space="preserve"> </w:t>
      </w:r>
      <w:proofErr w:type="spellStart"/>
      <w:r w:rsidRPr="00995ED2">
        <w:rPr>
          <w:b/>
          <w:bCs/>
        </w:rPr>
        <w:t>éléments</w:t>
      </w:r>
      <w:proofErr w:type="spellEnd"/>
      <w:r w:rsidRPr="00995ED2">
        <w:rPr>
          <w:b/>
          <w:bCs/>
        </w:rPr>
        <w:t xml:space="preserve"> </w:t>
      </w:r>
      <w:proofErr w:type="spellStart"/>
      <w:r w:rsidRPr="00995ED2">
        <w:rPr>
          <w:b/>
          <w:bCs/>
        </w:rPr>
        <w:t>requis</w:t>
      </w:r>
      <w:proofErr w:type="spellEnd"/>
    </w:p>
    <w:p w14:paraId="58A5A5B6" w14:textId="77777777" w:rsidR="00995ED2" w:rsidRPr="00995ED2" w:rsidRDefault="00995ED2" w:rsidP="00995ED2">
      <w:pPr>
        <w:numPr>
          <w:ilvl w:val="0"/>
          <w:numId w:val="9"/>
        </w:numPr>
      </w:pPr>
      <w:r w:rsidRPr="00995ED2">
        <w:t xml:space="preserve">les </w:t>
      </w:r>
      <w:proofErr w:type="spellStart"/>
      <w:r w:rsidRPr="00995ED2">
        <w:t>livrables</w:t>
      </w:r>
      <w:proofErr w:type="spellEnd"/>
      <w:r w:rsidRPr="00995ED2">
        <w:t xml:space="preserve"> </w:t>
      </w:r>
      <w:proofErr w:type="spellStart"/>
      <w:proofErr w:type="gramStart"/>
      <w:r w:rsidRPr="00995ED2">
        <w:t>proposés</w:t>
      </w:r>
      <w:proofErr w:type="spellEnd"/>
      <w:r w:rsidRPr="00995ED2">
        <w:t xml:space="preserve"> ;</w:t>
      </w:r>
      <w:proofErr w:type="gramEnd"/>
    </w:p>
    <w:p w14:paraId="65D30EB5" w14:textId="77777777" w:rsidR="00995ED2" w:rsidRPr="00995ED2" w:rsidRDefault="00995ED2" w:rsidP="00995ED2">
      <w:pPr>
        <w:numPr>
          <w:ilvl w:val="0"/>
          <w:numId w:val="9"/>
        </w:numPr>
        <w:rPr>
          <w:lang w:val="fr-FR"/>
        </w:rPr>
      </w:pPr>
      <w:proofErr w:type="gramStart"/>
      <w:r w:rsidRPr="00995ED2">
        <w:rPr>
          <w:lang w:val="fr-FR"/>
        </w:rPr>
        <w:t>le</w:t>
      </w:r>
      <w:proofErr w:type="gramEnd"/>
      <w:r w:rsidRPr="00995ED2">
        <w:rPr>
          <w:lang w:val="fr-FR"/>
        </w:rPr>
        <w:t xml:space="preserve"> calendrier et les tâches ;</w:t>
      </w:r>
    </w:p>
    <w:p w14:paraId="6CE81C8E" w14:textId="77777777" w:rsidR="00995ED2" w:rsidRPr="00995ED2" w:rsidRDefault="00995ED2" w:rsidP="00995ED2">
      <w:pPr>
        <w:numPr>
          <w:ilvl w:val="0"/>
          <w:numId w:val="9"/>
        </w:numPr>
      </w:pPr>
      <w:proofErr w:type="spellStart"/>
      <w:r w:rsidRPr="00995ED2">
        <w:t>l’offre</w:t>
      </w:r>
      <w:proofErr w:type="spellEnd"/>
      <w:r w:rsidRPr="00995ED2">
        <w:t xml:space="preserve"> </w:t>
      </w:r>
      <w:proofErr w:type="gramStart"/>
      <w:r w:rsidRPr="00995ED2">
        <w:t>financière ;</w:t>
      </w:r>
      <w:proofErr w:type="gramEnd"/>
    </w:p>
    <w:p w14:paraId="1F9C5585" w14:textId="77777777" w:rsidR="00995ED2" w:rsidRPr="00995ED2" w:rsidRDefault="00995ED2" w:rsidP="00995ED2">
      <w:pPr>
        <w:numPr>
          <w:ilvl w:val="0"/>
          <w:numId w:val="9"/>
        </w:numPr>
        <w:rPr>
          <w:lang w:val="fr-FR"/>
        </w:rPr>
      </w:pPr>
      <w:proofErr w:type="gramStart"/>
      <w:r w:rsidRPr="00995ED2">
        <w:rPr>
          <w:lang w:val="fr-FR"/>
        </w:rPr>
        <w:t>les</w:t>
      </w:r>
      <w:proofErr w:type="gramEnd"/>
      <w:r w:rsidRPr="00995ED2">
        <w:rPr>
          <w:lang w:val="fr-FR"/>
        </w:rPr>
        <w:t xml:space="preserve"> CV du consultant et de l’équipe d’évaluation (le cas échéant), détaillant leur expérience en matière d’évaluation.</w:t>
      </w:r>
    </w:p>
    <w:p w14:paraId="77C15C84" w14:textId="77777777" w:rsidR="00995ED2" w:rsidRPr="00995ED2" w:rsidRDefault="00995ED2" w:rsidP="00995ED2">
      <w:pPr>
        <w:rPr>
          <w:b/>
          <w:bCs/>
          <w:lang w:val="fr-FR"/>
        </w:rPr>
      </w:pPr>
      <w:r w:rsidRPr="00995ED2">
        <w:rPr>
          <w:b/>
          <w:bCs/>
          <w:lang w:val="fr-FR"/>
        </w:rPr>
        <w:t>VIII. Rapport final d’évaluation</w:t>
      </w:r>
    </w:p>
    <w:p w14:paraId="50072685" w14:textId="77777777" w:rsidR="00995ED2" w:rsidRPr="00995ED2" w:rsidRDefault="00995ED2" w:rsidP="00995ED2">
      <w:pPr>
        <w:rPr>
          <w:b/>
          <w:bCs/>
          <w:lang w:val="fr-FR"/>
        </w:rPr>
      </w:pPr>
      <w:r w:rsidRPr="00995ED2">
        <w:rPr>
          <w:b/>
          <w:bCs/>
          <w:lang w:val="fr-FR"/>
        </w:rPr>
        <w:t>Produits attendus</w:t>
      </w:r>
    </w:p>
    <w:p w14:paraId="3D5D8BD1" w14:textId="77777777" w:rsidR="00995ED2" w:rsidRPr="00995ED2" w:rsidRDefault="00995ED2" w:rsidP="00995ED2">
      <w:pPr>
        <w:rPr>
          <w:lang w:val="fr-FR"/>
        </w:rPr>
      </w:pPr>
      <w:r w:rsidRPr="00995ED2">
        <w:rPr>
          <w:lang w:val="fr-FR"/>
        </w:rPr>
        <w:t>Un rapport provisoire en anglais et en français, puis, après validation par l’IPPF AWRO et l’AMPF, un rapport final comprenant :</w:t>
      </w:r>
    </w:p>
    <w:p w14:paraId="48C9A00D" w14:textId="77777777" w:rsidR="00995ED2" w:rsidRPr="00995ED2" w:rsidRDefault="00995ED2" w:rsidP="00995ED2">
      <w:pPr>
        <w:numPr>
          <w:ilvl w:val="0"/>
          <w:numId w:val="10"/>
        </w:numPr>
      </w:pPr>
      <w:r w:rsidRPr="00995ED2">
        <w:t xml:space="preserve">Résumé </w:t>
      </w:r>
      <w:proofErr w:type="spellStart"/>
      <w:proofErr w:type="gramStart"/>
      <w:r w:rsidRPr="00995ED2">
        <w:t>exécutif</w:t>
      </w:r>
      <w:proofErr w:type="spellEnd"/>
      <w:r w:rsidRPr="00995ED2">
        <w:t xml:space="preserve"> ;</w:t>
      </w:r>
      <w:proofErr w:type="gramEnd"/>
    </w:p>
    <w:p w14:paraId="7A0DE55E" w14:textId="77777777" w:rsidR="00995ED2" w:rsidRPr="00995ED2" w:rsidRDefault="00995ED2" w:rsidP="00995ED2">
      <w:pPr>
        <w:numPr>
          <w:ilvl w:val="0"/>
          <w:numId w:val="10"/>
        </w:numPr>
      </w:pPr>
      <w:proofErr w:type="gramStart"/>
      <w:r w:rsidRPr="00995ED2">
        <w:t>Introduction ;</w:t>
      </w:r>
      <w:proofErr w:type="gramEnd"/>
    </w:p>
    <w:p w14:paraId="02252E67" w14:textId="77777777" w:rsidR="00995ED2" w:rsidRPr="00995ED2" w:rsidRDefault="00995ED2" w:rsidP="00995ED2">
      <w:pPr>
        <w:numPr>
          <w:ilvl w:val="0"/>
          <w:numId w:val="10"/>
        </w:numPr>
      </w:pPr>
      <w:proofErr w:type="spellStart"/>
      <w:r w:rsidRPr="00995ED2">
        <w:t>Brève</w:t>
      </w:r>
      <w:proofErr w:type="spellEnd"/>
      <w:r w:rsidRPr="00995ED2">
        <w:t xml:space="preserve"> description de </w:t>
      </w:r>
      <w:proofErr w:type="spellStart"/>
      <w:proofErr w:type="gramStart"/>
      <w:r w:rsidRPr="00995ED2">
        <w:t>l’intervention</w:t>
      </w:r>
      <w:proofErr w:type="spellEnd"/>
      <w:r w:rsidRPr="00995ED2">
        <w:t xml:space="preserve"> ;</w:t>
      </w:r>
      <w:proofErr w:type="gramEnd"/>
    </w:p>
    <w:p w14:paraId="6771E495" w14:textId="77777777" w:rsidR="00995ED2" w:rsidRPr="00995ED2" w:rsidRDefault="00995ED2" w:rsidP="00995ED2">
      <w:pPr>
        <w:numPr>
          <w:ilvl w:val="0"/>
          <w:numId w:val="10"/>
        </w:numPr>
      </w:pPr>
      <w:proofErr w:type="spellStart"/>
      <w:r w:rsidRPr="00995ED2">
        <w:t>Méthodologie</w:t>
      </w:r>
      <w:proofErr w:type="spellEnd"/>
      <w:r w:rsidRPr="00995ED2">
        <w:t xml:space="preserve"> </w:t>
      </w:r>
      <w:proofErr w:type="spellStart"/>
      <w:proofErr w:type="gramStart"/>
      <w:r w:rsidRPr="00995ED2">
        <w:t>utilisée</w:t>
      </w:r>
      <w:proofErr w:type="spellEnd"/>
      <w:r w:rsidRPr="00995ED2">
        <w:t xml:space="preserve"> ;</w:t>
      </w:r>
      <w:proofErr w:type="gramEnd"/>
    </w:p>
    <w:p w14:paraId="175B06B2" w14:textId="77777777" w:rsidR="00995ED2" w:rsidRPr="00995ED2" w:rsidRDefault="00995ED2" w:rsidP="00995ED2">
      <w:pPr>
        <w:numPr>
          <w:ilvl w:val="0"/>
          <w:numId w:val="10"/>
        </w:numPr>
        <w:rPr>
          <w:lang w:val="fr-FR"/>
        </w:rPr>
      </w:pPr>
      <w:r w:rsidRPr="00995ED2">
        <w:rPr>
          <w:lang w:val="fr-FR"/>
        </w:rPr>
        <w:t>Analyse et interprétation des informations recueillies ;</w:t>
      </w:r>
    </w:p>
    <w:p w14:paraId="1A1C87A0" w14:textId="77777777" w:rsidR="00995ED2" w:rsidRPr="00995ED2" w:rsidRDefault="00995ED2" w:rsidP="00995ED2">
      <w:pPr>
        <w:numPr>
          <w:ilvl w:val="0"/>
          <w:numId w:val="10"/>
        </w:numPr>
        <w:rPr>
          <w:lang w:val="fr-FR"/>
        </w:rPr>
      </w:pPr>
      <w:r w:rsidRPr="00995ED2">
        <w:rPr>
          <w:lang w:val="fr-FR"/>
        </w:rPr>
        <w:t>Résultats de l’évaluation selon les critères et questions d’évaluation ;</w:t>
      </w:r>
    </w:p>
    <w:p w14:paraId="538BB800" w14:textId="77777777" w:rsidR="00995ED2" w:rsidRPr="00995ED2" w:rsidRDefault="00995ED2" w:rsidP="00995ED2">
      <w:pPr>
        <w:numPr>
          <w:ilvl w:val="0"/>
          <w:numId w:val="10"/>
        </w:numPr>
      </w:pPr>
      <w:proofErr w:type="spellStart"/>
      <w:r w:rsidRPr="00995ED2">
        <w:t>Leçons</w:t>
      </w:r>
      <w:proofErr w:type="spellEnd"/>
      <w:r w:rsidRPr="00995ED2">
        <w:t xml:space="preserve"> </w:t>
      </w:r>
      <w:proofErr w:type="gramStart"/>
      <w:r w:rsidRPr="00995ED2">
        <w:t>apprises ;</w:t>
      </w:r>
      <w:proofErr w:type="gramEnd"/>
    </w:p>
    <w:p w14:paraId="321EBEA7" w14:textId="77777777" w:rsidR="00995ED2" w:rsidRPr="00995ED2" w:rsidRDefault="00995ED2" w:rsidP="00995ED2">
      <w:pPr>
        <w:numPr>
          <w:ilvl w:val="0"/>
          <w:numId w:val="10"/>
        </w:numPr>
      </w:pPr>
      <w:proofErr w:type="spellStart"/>
      <w:proofErr w:type="gramStart"/>
      <w:r w:rsidRPr="00995ED2">
        <w:t>Recommandations</w:t>
      </w:r>
      <w:proofErr w:type="spellEnd"/>
      <w:r w:rsidRPr="00995ED2">
        <w:t xml:space="preserve"> ;</w:t>
      </w:r>
      <w:proofErr w:type="gramEnd"/>
    </w:p>
    <w:p w14:paraId="6084E0A9" w14:textId="77777777" w:rsidR="00995ED2" w:rsidRPr="00995ED2" w:rsidRDefault="00995ED2" w:rsidP="00995ED2">
      <w:pPr>
        <w:numPr>
          <w:ilvl w:val="0"/>
          <w:numId w:val="10"/>
        </w:numPr>
        <w:rPr>
          <w:lang w:val="fr-FR"/>
        </w:rPr>
      </w:pPr>
      <w:r w:rsidRPr="00995ED2">
        <w:rPr>
          <w:lang w:val="fr-FR"/>
        </w:rPr>
        <w:t>Fiche de synthèse de deux pages ;</w:t>
      </w:r>
    </w:p>
    <w:p w14:paraId="64ABA4FC" w14:textId="77777777" w:rsidR="00995ED2" w:rsidRPr="00995ED2" w:rsidRDefault="00995ED2" w:rsidP="00995ED2">
      <w:pPr>
        <w:numPr>
          <w:ilvl w:val="0"/>
          <w:numId w:val="10"/>
        </w:numPr>
      </w:pPr>
      <w:proofErr w:type="gramStart"/>
      <w:r w:rsidRPr="00995ED2">
        <w:t>Annexes :</w:t>
      </w:r>
      <w:proofErr w:type="gramEnd"/>
    </w:p>
    <w:p w14:paraId="27E53F79" w14:textId="77777777" w:rsidR="00995ED2" w:rsidRPr="00995ED2" w:rsidRDefault="00995ED2" w:rsidP="00995ED2">
      <w:pPr>
        <w:numPr>
          <w:ilvl w:val="0"/>
          <w:numId w:val="11"/>
        </w:numPr>
      </w:pPr>
      <w:r w:rsidRPr="00995ED2">
        <w:t xml:space="preserve">Plan de </w:t>
      </w:r>
      <w:proofErr w:type="gramStart"/>
      <w:r w:rsidRPr="00995ED2">
        <w:t>travail ;</w:t>
      </w:r>
      <w:proofErr w:type="gramEnd"/>
    </w:p>
    <w:p w14:paraId="20C0DC53" w14:textId="77777777" w:rsidR="00995ED2" w:rsidRPr="00995ED2" w:rsidRDefault="00995ED2" w:rsidP="00995ED2">
      <w:pPr>
        <w:numPr>
          <w:ilvl w:val="0"/>
          <w:numId w:val="11"/>
        </w:numPr>
        <w:rPr>
          <w:lang w:val="fr-FR"/>
        </w:rPr>
      </w:pPr>
      <w:r w:rsidRPr="00995ED2">
        <w:rPr>
          <w:lang w:val="fr-FR"/>
        </w:rPr>
        <w:t>Méthodologie, techniques et sources utilisées pour la collecte des informations ;</w:t>
      </w:r>
    </w:p>
    <w:p w14:paraId="21D12E0D" w14:textId="77777777" w:rsidR="00995ED2" w:rsidRPr="00995ED2" w:rsidRDefault="00995ED2" w:rsidP="00995ED2">
      <w:pPr>
        <w:numPr>
          <w:ilvl w:val="0"/>
          <w:numId w:val="11"/>
        </w:numPr>
        <w:rPr>
          <w:lang w:val="fr-FR"/>
        </w:rPr>
      </w:pPr>
      <w:r w:rsidRPr="00995ED2">
        <w:rPr>
          <w:lang w:val="fr-FR"/>
        </w:rPr>
        <w:t>Analyse documentaire (document du projet, matrice des indicateurs, entretiens, groupes de discussion, guides d’entretien, transcriptions et notes, modèles d’enquête, données brutes et statistiques d’analyse) ;</w:t>
      </w:r>
    </w:p>
    <w:p w14:paraId="70E070A7" w14:textId="77777777" w:rsidR="00995ED2" w:rsidRPr="00995ED2" w:rsidRDefault="00995ED2" w:rsidP="00995ED2">
      <w:pPr>
        <w:numPr>
          <w:ilvl w:val="0"/>
          <w:numId w:val="11"/>
        </w:numPr>
        <w:rPr>
          <w:lang w:val="fr-FR"/>
        </w:rPr>
      </w:pPr>
      <w:r w:rsidRPr="00995ED2">
        <w:rPr>
          <w:lang w:val="fr-FR"/>
        </w:rPr>
        <w:lastRenderedPageBreak/>
        <w:t>Observations et commentaires des parties prenantes sur le rapport provisoire, le cas échéant.</w:t>
      </w:r>
    </w:p>
    <w:p w14:paraId="7C328424" w14:textId="77777777" w:rsidR="00995ED2" w:rsidRPr="0009073B" w:rsidRDefault="00995ED2" w:rsidP="00995ED2">
      <w:pPr>
        <w:rPr>
          <w:b/>
          <w:bCs/>
          <w:lang w:val="fr-FR"/>
        </w:rPr>
      </w:pPr>
      <w:r w:rsidRPr="0009073B">
        <w:rPr>
          <w:b/>
          <w:bCs/>
          <w:lang w:val="fr-FR"/>
        </w:rPr>
        <w:t>IX. Calendrier de la mission</w:t>
      </w:r>
    </w:p>
    <w:p w14:paraId="74470EE7" w14:textId="760E37ED" w:rsidR="00995ED2" w:rsidRPr="00995ED2" w:rsidRDefault="00995ED2" w:rsidP="00995ED2">
      <w:pPr>
        <w:numPr>
          <w:ilvl w:val="0"/>
          <w:numId w:val="12"/>
        </w:numPr>
        <w:rPr>
          <w:lang w:val="fr-FR"/>
        </w:rPr>
      </w:pPr>
      <w:r w:rsidRPr="00995ED2">
        <w:rPr>
          <w:b/>
          <w:bCs/>
          <w:lang w:val="fr-FR"/>
        </w:rPr>
        <w:t>Soumission du rapport provisoire :</w:t>
      </w:r>
      <w:r w:rsidRPr="00995ED2">
        <w:rPr>
          <w:lang w:val="fr-FR"/>
        </w:rPr>
        <w:t xml:space="preserve"> </w:t>
      </w:r>
      <w:r w:rsidR="000E7D18">
        <w:rPr>
          <w:b/>
          <w:bCs/>
          <w:lang w:val="fr-FR"/>
        </w:rPr>
        <w:t>3</w:t>
      </w:r>
      <w:r w:rsidRPr="00077608">
        <w:rPr>
          <w:b/>
          <w:bCs/>
          <w:lang w:val="fr-FR"/>
        </w:rPr>
        <w:t>0 juillet 2026</w:t>
      </w:r>
      <w:r w:rsidRPr="00077608">
        <w:rPr>
          <w:lang w:val="fr-FR"/>
        </w:rPr>
        <w:t xml:space="preserve"> </w:t>
      </w:r>
      <w:r w:rsidRPr="00995ED2">
        <w:rPr>
          <w:lang w:val="fr-FR"/>
        </w:rPr>
        <w:t>;</w:t>
      </w:r>
    </w:p>
    <w:p w14:paraId="6513B7A4" w14:textId="2EE45531" w:rsidR="00995ED2" w:rsidRPr="00995ED2" w:rsidRDefault="00995ED2" w:rsidP="00995ED2">
      <w:pPr>
        <w:numPr>
          <w:ilvl w:val="0"/>
          <w:numId w:val="12"/>
        </w:numPr>
        <w:rPr>
          <w:lang w:val="fr-FR"/>
        </w:rPr>
      </w:pPr>
      <w:r w:rsidRPr="00995ED2">
        <w:rPr>
          <w:b/>
          <w:bCs/>
          <w:lang w:val="fr-FR"/>
        </w:rPr>
        <w:t>Soumission du rapport final :</w:t>
      </w:r>
      <w:r w:rsidRPr="00995ED2">
        <w:rPr>
          <w:lang w:val="fr-FR"/>
        </w:rPr>
        <w:t xml:space="preserve"> </w:t>
      </w:r>
      <w:r w:rsidR="000E7D18">
        <w:rPr>
          <w:b/>
          <w:bCs/>
          <w:lang w:val="fr-FR"/>
        </w:rPr>
        <w:t xml:space="preserve">3 </w:t>
      </w:r>
      <w:r w:rsidRPr="00077608">
        <w:rPr>
          <w:b/>
          <w:bCs/>
          <w:lang w:val="fr-FR"/>
        </w:rPr>
        <w:t>août 2026</w:t>
      </w:r>
      <w:r w:rsidRPr="00995ED2">
        <w:rPr>
          <w:lang w:val="fr-FR"/>
        </w:rPr>
        <w:t>, après revue par l’AMPF et l’IPPF.</w:t>
      </w:r>
    </w:p>
    <w:p w14:paraId="7B5C0CD0" w14:textId="77777777" w:rsidR="00995ED2" w:rsidRPr="00995ED2" w:rsidRDefault="00995ED2" w:rsidP="00995ED2">
      <w:pPr>
        <w:rPr>
          <w:b/>
          <w:bCs/>
          <w:lang w:val="fr-FR"/>
        </w:rPr>
      </w:pPr>
      <w:r w:rsidRPr="00995ED2">
        <w:rPr>
          <w:b/>
          <w:bCs/>
          <w:lang w:val="fr-FR"/>
        </w:rPr>
        <w:t>X. Soumission des candidatures</w:t>
      </w:r>
    </w:p>
    <w:p w14:paraId="15648585" w14:textId="77777777" w:rsidR="00995ED2" w:rsidRPr="00995ED2" w:rsidRDefault="00995ED2" w:rsidP="00995ED2">
      <w:pPr>
        <w:rPr>
          <w:lang w:val="fr-FR"/>
        </w:rPr>
      </w:pPr>
      <w:r w:rsidRPr="00995ED2">
        <w:rPr>
          <w:lang w:val="fr-FR"/>
        </w:rPr>
        <w:t>Les offres doivent être transmises par courrier électronique.</w:t>
      </w:r>
    </w:p>
    <w:p w14:paraId="4C62FFD4" w14:textId="6B364A9C" w:rsidR="00995ED2" w:rsidRPr="00995ED2" w:rsidRDefault="00995ED2" w:rsidP="00995ED2">
      <w:pPr>
        <w:rPr>
          <w:lang w:val="fr-FR"/>
        </w:rPr>
      </w:pPr>
      <w:r w:rsidRPr="00995ED2">
        <w:rPr>
          <w:b/>
          <w:bCs/>
          <w:lang w:val="fr-FR"/>
        </w:rPr>
        <w:t xml:space="preserve">Date limite de soumission : </w:t>
      </w:r>
      <w:r w:rsidR="000E7D18">
        <w:rPr>
          <w:b/>
          <w:bCs/>
          <w:lang w:val="fr-FR"/>
        </w:rPr>
        <w:t>19</w:t>
      </w:r>
      <w:r w:rsidRPr="00077608">
        <w:rPr>
          <w:b/>
          <w:bCs/>
          <w:lang w:val="fr-FR"/>
        </w:rPr>
        <w:t xml:space="preserve"> jui</w:t>
      </w:r>
      <w:r w:rsidR="00077608" w:rsidRPr="00077608">
        <w:rPr>
          <w:b/>
          <w:bCs/>
          <w:lang w:val="fr-FR"/>
        </w:rPr>
        <w:t>llet</w:t>
      </w:r>
      <w:r w:rsidRPr="00077608">
        <w:rPr>
          <w:b/>
          <w:bCs/>
          <w:lang w:val="fr-FR"/>
        </w:rPr>
        <w:t xml:space="preserve"> 2026</w:t>
      </w:r>
      <w:r w:rsidRPr="00995ED2">
        <w:rPr>
          <w:b/>
          <w:bCs/>
          <w:lang w:val="fr-FR"/>
        </w:rPr>
        <w:t>.</w:t>
      </w:r>
    </w:p>
    <w:p w14:paraId="6D16063C" w14:textId="34F979F6" w:rsidR="00995ED2" w:rsidRPr="00077608" w:rsidRDefault="00995ED2" w:rsidP="00077608">
      <w:pPr>
        <w:rPr>
          <w:color w:val="EE0000"/>
          <w:lang w:val="fr-FR"/>
        </w:rPr>
      </w:pPr>
      <w:r w:rsidRPr="00B648CE">
        <w:rPr>
          <w:lang w:val="fr-FR"/>
        </w:rPr>
        <w:t>Les candidatures doivent être envoyées aux contacts suivants :</w:t>
      </w:r>
      <w:r w:rsidR="00077608" w:rsidRPr="00B648CE">
        <w:rPr>
          <w:lang w:val="fr-FR"/>
        </w:rPr>
        <w:t xml:space="preserve"> </w:t>
      </w:r>
      <w:r w:rsidR="00B648CE" w:rsidRPr="00B648CE">
        <w:rPr>
          <w:b/>
          <w:bCs/>
          <w:color w:val="EE0000"/>
          <w:lang w:val="fr-FR"/>
        </w:rPr>
        <w:t>AWRJOBS@ippf.org</w:t>
      </w:r>
      <w:r w:rsidRPr="00B648CE">
        <w:rPr>
          <w:color w:val="EE0000"/>
          <w:lang w:val="fr-FR"/>
        </w:rPr>
        <w:t>.</w:t>
      </w:r>
    </w:p>
    <w:p w14:paraId="2418F4F9" w14:textId="77777777" w:rsidR="00793A87" w:rsidRPr="00077608" w:rsidRDefault="00793A87">
      <w:pPr>
        <w:rPr>
          <w:lang w:val="fr-FR"/>
        </w:rPr>
      </w:pPr>
    </w:p>
    <w:sectPr w:rsidR="00793A87" w:rsidRPr="000776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6DE1" w14:textId="77777777" w:rsidR="006117B9" w:rsidRDefault="006117B9" w:rsidP="00F52F39">
      <w:pPr>
        <w:spacing w:after="0" w:line="240" w:lineRule="auto"/>
      </w:pPr>
      <w:r>
        <w:separator/>
      </w:r>
    </w:p>
  </w:endnote>
  <w:endnote w:type="continuationSeparator" w:id="0">
    <w:p w14:paraId="7971F18B" w14:textId="77777777" w:rsidR="006117B9" w:rsidRDefault="006117B9" w:rsidP="00F5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17131"/>
      <w:docPartObj>
        <w:docPartGallery w:val="Page Numbers (Bottom of Page)"/>
        <w:docPartUnique/>
      </w:docPartObj>
    </w:sdtPr>
    <w:sdtEndPr>
      <w:rPr>
        <w:color w:val="7F7F7F" w:themeColor="background1" w:themeShade="7F"/>
        <w:spacing w:val="60"/>
      </w:rPr>
    </w:sdtEndPr>
    <w:sdtContent>
      <w:p w14:paraId="0758F537" w14:textId="23CFE18C" w:rsidR="00F52F39" w:rsidRDefault="00F52F3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8A1A20E" w14:textId="77777777" w:rsidR="00F52F39" w:rsidRDefault="00F5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C81E" w14:textId="77777777" w:rsidR="006117B9" w:rsidRDefault="006117B9" w:rsidP="00F52F39">
      <w:pPr>
        <w:spacing w:after="0" w:line="240" w:lineRule="auto"/>
      </w:pPr>
      <w:r>
        <w:separator/>
      </w:r>
    </w:p>
  </w:footnote>
  <w:footnote w:type="continuationSeparator" w:id="0">
    <w:p w14:paraId="148E5C40" w14:textId="77777777" w:rsidR="006117B9" w:rsidRDefault="006117B9" w:rsidP="00F5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B2B"/>
    <w:multiLevelType w:val="multilevel"/>
    <w:tmpl w:val="49F0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25E20"/>
    <w:multiLevelType w:val="multilevel"/>
    <w:tmpl w:val="5DD0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E0278"/>
    <w:multiLevelType w:val="multilevel"/>
    <w:tmpl w:val="AB1A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23AFA"/>
    <w:multiLevelType w:val="multilevel"/>
    <w:tmpl w:val="6D10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F0D08"/>
    <w:multiLevelType w:val="multilevel"/>
    <w:tmpl w:val="36BE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41372"/>
    <w:multiLevelType w:val="multilevel"/>
    <w:tmpl w:val="465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924B7"/>
    <w:multiLevelType w:val="multilevel"/>
    <w:tmpl w:val="90F22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80CFF"/>
    <w:multiLevelType w:val="multilevel"/>
    <w:tmpl w:val="770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56633"/>
    <w:multiLevelType w:val="multilevel"/>
    <w:tmpl w:val="E18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C66B9"/>
    <w:multiLevelType w:val="multilevel"/>
    <w:tmpl w:val="2C60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8C7EC9"/>
    <w:multiLevelType w:val="multilevel"/>
    <w:tmpl w:val="96B6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06648"/>
    <w:multiLevelType w:val="multilevel"/>
    <w:tmpl w:val="5BC62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456097">
    <w:abstractNumId w:val="1"/>
  </w:num>
  <w:num w:numId="2" w16cid:durableId="1621497988">
    <w:abstractNumId w:val="9"/>
  </w:num>
  <w:num w:numId="3" w16cid:durableId="194540854">
    <w:abstractNumId w:val="5"/>
  </w:num>
  <w:num w:numId="4" w16cid:durableId="196551893">
    <w:abstractNumId w:val="11"/>
  </w:num>
  <w:num w:numId="5" w16cid:durableId="750616478">
    <w:abstractNumId w:val="3"/>
  </w:num>
  <w:num w:numId="6" w16cid:durableId="2082173029">
    <w:abstractNumId w:val="2"/>
  </w:num>
  <w:num w:numId="7" w16cid:durableId="1599287750">
    <w:abstractNumId w:val="0"/>
  </w:num>
  <w:num w:numId="8" w16cid:durableId="1167935475">
    <w:abstractNumId w:val="4"/>
  </w:num>
  <w:num w:numId="9" w16cid:durableId="183173651">
    <w:abstractNumId w:val="10"/>
  </w:num>
  <w:num w:numId="10" w16cid:durableId="383607492">
    <w:abstractNumId w:val="6"/>
  </w:num>
  <w:num w:numId="11" w16cid:durableId="1859153111">
    <w:abstractNumId w:val="7"/>
  </w:num>
  <w:num w:numId="12" w16cid:durableId="964001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DE"/>
    <w:rsid w:val="00077608"/>
    <w:rsid w:val="0009073B"/>
    <w:rsid w:val="000E7D18"/>
    <w:rsid w:val="001D531B"/>
    <w:rsid w:val="00202AAF"/>
    <w:rsid w:val="00325EDB"/>
    <w:rsid w:val="003A3837"/>
    <w:rsid w:val="004966D8"/>
    <w:rsid w:val="006117B9"/>
    <w:rsid w:val="00793A87"/>
    <w:rsid w:val="00793CDE"/>
    <w:rsid w:val="007A7A4C"/>
    <w:rsid w:val="008D57BA"/>
    <w:rsid w:val="00966D47"/>
    <w:rsid w:val="00995ED2"/>
    <w:rsid w:val="00B648CE"/>
    <w:rsid w:val="00C44075"/>
    <w:rsid w:val="00C523F9"/>
    <w:rsid w:val="00F52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4E40"/>
  <w15:chartTrackingRefBased/>
  <w15:docId w15:val="{6EEEAC2C-3530-4EDB-B26E-55E30AA1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CDE"/>
    <w:rPr>
      <w:rFonts w:eastAsiaTheme="majorEastAsia" w:cstheme="majorBidi"/>
      <w:color w:val="272727" w:themeColor="text1" w:themeTint="D8"/>
    </w:rPr>
  </w:style>
  <w:style w:type="paragraph" w:styleId="Title">
    <w:name w:val="Title"/>
    <w:basedOn w:val="Normal"/>
    <w:next w:val="Normal"/>
    <w:link w:val="TitleChar"/>
    <w:uiPriority w:val="10"/>
    <w:qFormat/>
    <w:rsid w:val="00793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CDE"/>
    <w:pPr>
      <w:spacing w:before="160"/>
      <w:jc w:val="center"/>
    </w:pPr>
    <w:rPr>
      <w:i/>
      <w:iCs/>
      <w:color w:val="404040" w:themeColor="text1" w:themeTint="BF"/>
    </w:rPr>
  </w:style>
  <w:style w:type="character" w:customStyle="1" w:styleId="QuoteChar">
    <w:name w:val="Quote Char"/>
    <w:basedOn w:val="DefaultParagraphFont"/>
    <w:link w:val="Quote"/>
    <w:uiPriority w:val="29"/>
    <w:rsid w:val="00793CDE"/>
    <w:rPr>
      <w:i/>
      <w:iCs/>
      <w:color w:val="404040" w:themeColor="text1" w:themeTint="BF"/>
    </w:rPr>
  </w:style>
  <w:style w:type="paragraph" w:styleId="ListParagraph">
    <w:name w:val="List Paragraph"/>
    <w:basedOn w:val="Normal"/>
    <w:uiPriority w:val="34"/>
    <w:qFormat/>
    <w:rsid w:val="00793CDE"/>
    <w:pPr>
      <w:ind w:left="720"/>
      <w:contextualSpacing/>
    </w:pPr>
  </w:style>
  <w:style w:type="character" w:styleId="IntenseEmphasis">
    <w:name w:val="Intense Emphasis"/>
    <w:basedOn w:val="DefaultParagraphFont"/>
    <w:uiPriority w:val="21"/>
    <w:qFormat/>
    <w:rsid w:val="00793CDE"/>
    <w:rPr>
      <w:i/>
      <w:iCs/>
      <w:color w:val="0F4761" w:themeColor="accent1" w:themeShade="BF"/>
    </w:rPr>
  </w:style>
  <w:style w:type="paragraph" w:styleId="IntenseQuote">
    <w:name w:val="Intense Quote"/>
    <w:basedOn w:val="Normal"/>
    <w:next w:val="Normal"/>
    <w:link w:val="IntenseQuoteChar"/>
    <w:uiPriority w:val="30"/>
    <w:qFormat/>
    <w:rsid w:val="00793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CDE"/>
    <w:rPr>
      <w:i/>
      <w:iCs/>
      <w:color w:val="0F4761" w:themeColor="accent1" w:themeShade="BF"/>
    </w:rPr>
  </w:style>
  <w:style w:type="character" w:styleId="IntenseReference">
    <w:name w:val="Intense Reference"/>
    <w:basedOn w:val="DefaultParagraphFont"/>
    <w:uiPriority w:val="32"/>
    <w:qFormat/>
    <w:rsid w:val="00793CDE"/>
    <w:rPr>
      <w:b/>
      <w:bCs/>
      <w:smallCaps/>
      <w:color w:val="0F4761" w:themeColor="accent1" w:themeShade="BF"/>
      <w:spacing w:val="5"/>
    </w:rPr>
  </w:style>
  <w:style w:type="paragraph" w:styleId="Header">
    <w:name w:val="header"/>
    <w:basedOn w:val="Normal"/>
    <w:link w:val="HeaderChar"/>
    <w:uiPriority w:val="99"/>
    <w:unhideWhenUsed/>
    <w:rsid w:val="00F52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F39"/>
  </w:style>
  <w:style w:type="paragraph" w:styleId="Footer">
    <w:name w:val="footer"/>
    <w:basedOn w:val="Normal"/>
    <w:link w:val="FooterChar"/>
    <w:uiPriority w:val="99"/>
    <w:unhideWhenUsed/>
    <w:rsid w:val="00F52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1525</Words>
  <Characters>8696</Characters>
  <Application>Microsoft Office Word</Application>
  <DocSecurity>0</DocSecurity>
  <Lines>72</Lines>
  <Paragraphs>20</Paragraphs>
  <ScaleCrop>false</ScaleCrop>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 Grar</dc:creator>
  <cp:keywords/>
  <dc:description/>
  <cp:lastModifiedBy>Lamia Grar</cp:lastModifiedBy>
  <cp:revision>9</cp:revision>
  <dcterms:created xsi:type="dcterms:W3CDTF">2026-06-18T14:39:00Z</dcterms:created>
  <dcterms:modified xsi:type="dcterms:W3CDTF">2026-07-15T10:33:00Z</dcterms:modified>
</cp:coreProperties>
</file>